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0975B">
      <w:pPr>
        <w:jc w:val="center"/>
        <w:rPr>
          <w:rFonts w:hint="default" w:ascii="Times New Roman" w:hAnsi="Times New Roman" w:eastAsia="Segoe UI" w:cs="Times New Roman"/>
          <w:b/>
          <w:bCs/>
          <w:i w:val="0"/>
          <w:iCs w:val="0"/>
          <w:caps w:val="0"/>
          <w:color w:val="0F1115"/>
          <w:spacing w:val="0"/>
          <w:sz w:val="40"/>
          <w:szCs w:val="40"/>
          <w:shd w:val="clear" w:fill="FFFFFF"/>
        </w:rPr>
      </w:pPr>
      <w:r>
        <w:rPr>
          <w:rFonts w:hint="default" w:ascii="Times New Roman" w:hAnsi="Times New Roman" w:eastAsia="Segoe UI" w:cs="Times New Roman"/>
          <w:b/>
          <w:bCs/>
          <w:i w:val="0"/>
          <w:iCs w:val="0"/>
          <w:caps w:val="0"/>
          <w:color w:val="0F1115"/>
          <w:spacing w:val="0"/>
          <w:sz w:val="40"/>
          <w:szCs w:val="40"/>
          <w:shd w:val="clear" w:fill="FFFFFF"/>
        </w:rPr>
        <w:t>Improving Profitability: A Financial Analysis of Discount Policy and Cost Structure</w:t>
      </w:r>
    </w:p>
    <w:p w14:paraId="285CEC12">
      <w:pPr>
        <w:jc w:val="center"/>
        <w:rPr>
          <w:rFonts w:hint="default" w:ascii="Times New Roman" w:hAnsi="Times New Roman" w:eastAsia="Segoe UI" w:cs="Times New Roman"/>
          <w:b/>
          <w:bCs/>
          <w:i/>
          <w:iCs/>
          <w:caps w:val="0"/>
          <w:color w:val="0F1115"/>
          <w:spacing w:val="0"/>
          <w:sz w:val="24"/>
          <w:szCs w:val="24"/>
          <w:shd w:val="clear" w:fill="FFFFFF"/>
        </w:rPr>
      </w:pPr>
    </w:p>
    <w:p w14:paraId="3EE1DAF4">
      <w:pPr>
        <w:jc w:val="center"/>
        <w:rPr>
          <w:rFonts w:hint="default" w:ascii="Times New Roman" w:hAnsi="Times New Roman" w:cs="Times New Roman"/>
          <w:i/>
          <w:iCs/>
          <w:sz w:val="22"/>
          <w:szCs w:val="22"/>
        </w:rPr>
      </w:pPr>
      <w:r>
        <w:rPr>
          <w:rFonts w:hint="default" w:ascii="Times New Roman" w:hAnsi="Times New Roman" w:cs="Times New Roman"/>
          <w:i/>
          <w:iCs/>
          <w:sz w:val="22"/>
          <w:szCs w:val="22"/>
        </w:rPr>
        <w:t>An end-to-end financial data analysis of a company's transactional records (2013–2014)</w:t>
      </w:r>
    </w:p>
    <w:p w14:paraId="5869E772">
      <w:pPr>
        <w:pBdr>
          <w:bottom w:val="single" w:color="auto" w:sz="4" w:space="0"/>
        </w:pBdr>
        <w:rPr>
          <w:rFonts w:hint="default" w:ascii="Times New Roman" w:hAnsi="Times New Roman" w:cs="Times New Roman"/>
          <w:sz w:val="24"/>
          <w:szCs w:val="24"/>
        </w:rPr>
      </w:pPr>
    </w:p>
    <w:p w14:paraId="5C633D0C">
      <w:pPr>
        <w:rPr>
          <w:rFonts w:hint="default" w:ascii="Times New Roman" w:hAnsi="Times New Roman" w:cs="Times New Roman"/>
          <w:sz w:val="24"/>
          <w:szCs w:val="24"/>
          <w:lang w:val="en-US"/>
        </w:rPr>
      </w:pPr>
    </w:p>
    <w:p w14:paraId="78719BBF">
      <w:pPr>
        <w:rPr>
          <w:rFonts w:hint="default" w:ascii="Times New Roman" w:hAnsi="Times New Roman" w:cs="Times New Roman"/>
          <w:sz w:val="24"/>
          <w:szCs w:val="24"/>
        </w:rPr>
      </w:pPr>
    </w:p>
    <w:p w14:paraId="436C428F">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Purpose and Business Question</w:t>
      </w:r>
      <w:bookmarkStart w:id="0" w:name="_GoBack"/>
      <w:bookmarkEnd w:id="0"/>
    </w:p>
    <w:p w14:paraId="632B7B9F">
      <w:pPr>
        <w:rPr>
          <w:rFonts w:hint="default" w:ascii="Times New Roman" w:hAnsi="Times New Roman" w:cs="Times New Roman"/>
          <w:sz w:val="24"/>
          <w:szCs w:val="24"/>
        </w:rPr>
      </w:pPr>
    </w:p>
    <w:p w14:paraId="6EC1C1F3">
      <w:pPr>
        <w:rPr>
          <w:rFonts w:hint="default" w:ascii="Times New Roman" w:hAnsi="Times New Roman" w:cs="Times New Roman"/>
          <w:sz w:val="24"/>
          <w:szCs w:val="24"/>
        </w:rPr>
      </w:pPr>
      <w:r>
        <w:rPr>
          <w:rFonts w:hint="default" w:ascii="Times New Roman" w:hAnsi="Times New Roman" w:cs="Times New Roman"/>
          <w:sz w:val="24"/>
          <w:szCs w:val="24"/>
        </w:rPr>
        <w:t>This analysis examines two years of a company's transactional financial records to understand where profitability is being created, where it is being eroded, and what pricing and discount decisions would materially improve the bottom line. The question driving this work is simple to state but difficult to answer without structured analysis: where is the company making money, where is it losing money, and what is the single largest controllable lever available to improve profitability?</w:t>
      </w:r>
    </w:p>
    <w:p w14:paraId="3690F7A4">
      <w:pPr>
        <w:rPr>
          <w:rFonts w:hint="default" w:ascii="Times New Roman" w:hAnsi="Times New Roman" w:cs="Times New Roman"/>
          <w:sz w:val="24"/>
          <w:szCs w:val="24"/>
        </w:rPr>
      </w:pPr>
    </w:p>
    <w:p w14:paraId="704AB29E">
      <w:pPr>
        <w:rPr>
          <w:rFonts w:hint="default" w:ascii="Times New Roman" w:hAnsi="Times New Roman" w:cs="Times New Roman"/>
          <w:sz w:val="24"/>
          <w:szCs w:val="24"/>
        </w:rPr>
      </w:pPr>
      <w:r>
        <w:rPr>
          <w:rFonts w:hint="default" w:ascii="Times New Roman" w:hAnsi="Times New Roman" w:cs="Times New Roman"/>
          <w:sz w:val="24"/>
          <w:szCs w:val="24"/>
        </w:rPr>
        <w:t>The analysis was conducted using three complementary tools — Excel, Python, and SQL — each chosen to demonstrate a different capability. Excel was used for structured pivots, cross-tabulations, and business-facing output. Python was used for data cleaning, distributional analysis, and statistical modelling. SQL was used for query-layer analysis including window functions, common table expressions, and joins. All three tools operate on the same source data and converge on the same set of conclusions, which strengthens confidence in the findings.</w:t>
      </w:r>
    </w:p>
    <w:p w14:paraId="1FAB9C29">
      <w:pPr>
        <w:rPr>
          <w:rFonts w:hint="default" w:ascii="Times New Roman" w:hAnsi="Times New Roman" w:cs="Times New Roman"/>
          <w:sz w:val="24"/>
          <w:szCs w:val="24"/>
        </w:rPr>
      </w:pPr>
    </w:p>
    <w:p w14:paraId="177FBCE1">
      <w:pPr>
        <w:rPr>
          <w:rFonts w:hint="default" w:ascii="Times New Roman" w:hAnsi="Times New Roman" w:cs="Times New Roman"/>
          <w:b/>
          <w:bCs/>
          <w:sz w:val="24"/>
          <w:szCs w:val="24"/>
        </w:rPr>
      </w:pPr>
      <w:r>
        <w:rPr>
          <w:rFonts w:hint="default" w:ascii="Times New Roman" w:hAnsi="Times New Roman" w:cs="Times New Roman"/>
          <w:b/>
          <w:bCs/>
          <w:sz w:val="24"/>
          <w:szCs w:val="24"/>
        </w:rPr>
        <w:t>The Data</w:t>
      </w:r>
    </w:p>
    <w:p w14:paraId="28CE59A0">
      <w:pPr>
        <w:rPr>
          <w:rFonts w:hint="default" w:ascii="Times New Roman" w:hAnsi="Times New Roman" w:cs="Times New Roman"/>
          <w:sz w:val="24"/>
          <w:szCs w:val="24"/>
        </w:rPr>
      </w:pPr>
    </w:p>
    <w:p w14:paraId="04B4FA4A">
      <w:pPr>
        <w:rPr>
          <w:rFonts w:hint="default" w:ascii="Times New Roman" w:hAnsi="Times New Roman" w:cs="Times New Roman"/>
          <w:sz w:val="24"/>
          <w:szCs w:val="24"/>
        </w:rPr>
      </w:pPr>
      <w:r>
        <w:rPr>
          <w:rFonts w:hint="default" w:ascii="Times New Roman" w:hAnsi="Times New Roman" w:cs="Times New Roman"/>
          <w:sz w:val="24"/>
          <w:szCs w:val="24"/>
        </w:rPr>
        <w:t>The dataset consists of seven hundred transactional records spanning January 2013 to December 2014. Each record represents a commercial transaction and contains information about the market in which it occurred, the product involved, the customer segment, the applicable discount tier, units transacted, pricing, and the resulting financial outcomes.</w:t>
      </w:r>
    </w:p>
    <w:p w14:paraId="7BB1B42A">
      <w:pPr>
        <w:rPr>
          <w:rFonts w:hint="default" w:ascii="Times New Roman" w:hAnsi="Times New Roman" w:cs="Times New Roman"/>
          <w:sz w:val="24"/>
          <w:szCs w:val="24"/>
        </w:rPr>
      </w:pPr>
    </w:p>
    <w:p w14:paraId="1518142B">
      <w:pPr>
        <w:rPr>
          <w:rFonts w:hint="default" w:ascii="Times New Roman" w:hAnsi="Times New Roman" w:cs="Times New Roman"/>
          <w:sz w:val="24"/>
          <w:szCs w:val="24"/>
        </w:rPr>
      </w:pPr>
      <w:r>
        <w:rPr>
          <w:rFonts w:hint="default" w:ascii="Times New Roman" w:hAnsi="Times New Roman" w:cs="Times New Roman"/>
          <w:sz w:val="24"/>
          <w:szCs w:val="24"/>
        </w:rPr>
        <w:t>Financial metrics captured in the data include gross sales, the value of discounts applied, net sales, cost of goods sold, and profit. The dataset covers five markets — Canada, France, Germany, Mexico, and the United States — and six products. Transactions are classified into five customer segments and four discount tiers: no discount, low, medium, and high.</w:t>
      </w:r>
    </w:p>
    <w:p w14:paraId="5524C2B5">
      <w:pPr>
        <w:rPr>
          <w:rFonts w:hint="default" w:ascii="Times New Roman" w:hAnsi="Times New Roman" w:cs="Times New Roman"/>
          <w:sz w:val="24"/>
          <w:szCs w:val="24"/>
        </w:rPr>
      </w:pPr>
    </w:p>
    <w:p w14:paraId="7B9AF463">
      <w:pPr>
        <w:rPr>
          <w:rFonts w:hint="default" w:ascii="Times New Roman" w:hAnsi="Times New Roman" w:cs="Times New Roman"/>
          <w:sz w:val="24"/>
          <w:szCs w:val="24"/>
        </w:rPr>
      </w:pPr>
      <w:r>
        <w:rPr>
          <w:rFonts w:hint="default" w:ascii="Times New Roman" w:hAnsi="Times New Roman" w:cs="Times New Roman"/>
          <w:sz w:val="24"/>
          <w:szCs w:val="24"/>
        </w:rPr>
        <w:t>Across the full two-year period, total revenue amounted to approximately 118.7 million in reported currency units, with total cost of goods sold of 101.8 million and total profit of 16.9 million. This produces a blended profit margin of 14.23 percent and a cost-to-revenue ratio of 85.77 percent. These top-line figures frame the rest of the analysis: the business operates on a relatively thin margin, and small changes in either cost structure or discount behaviour have outsized effects on profit.</w:t>
      </w:r>
    </w:p>
    <w:p w14:paraId="47616432">
      <w:pPr>
        <w:rPr>
          <w:rFonts w:hint="default" w:ascii="Times New Roman" w:hAnsi="Times New Roman" w:cs="Times New Roman"/>
          <w:sz w:val="24"/>
          <w:szCs w:val="24"/>
        </w:rPr>
      </w:pPr>
    </w:p>
    <w:p w14:paraId="7165201B">
      <w:pPr>
        <w:rPr>
          <w:rFonts w:hint="default" w:ascii="Times New Roman" w:hAnsi="Times New Roman" w:cs="Times New Roman"/>
          <w:b/>
          <w:bCs/>
          <w:sz w:val="24"/>
          <w:szCs w:val="24"/>
        </w:rPr>
      </w:pPr>
      <w:r>
        <w:rPr>
          <w:rFonts w:hint="default" w:ascii="Times New Roman" w:hAnsi="Times New Roman" w:cs="Times New Roman"/>
          <w:b/>
          <w:bCs/>
          <w:sz w:val="24"/>
          <w:szCs w:val="24"/>
        </w:rPr>
        <w:t>Approach</w:t>
      </w:r>
    </w:p>
    <w:p w14:paraId="4D555715">
      <w:pPr>
        <w:rPr>
          <w:rFonts w:hint="default" w:ascii="Times New Roman" w:hAnsi="Times New Roman" w:cs="Times New Roman"/>
          <w:sz w:val="24"/>
          <w:szCs w:val="24"/>
        </w:rPr>
      </w:pPr>
    </w:p>
    <w:p w14:paraId="6559DA72">
      <w:pPr>
        <w:rPr>
          <w:rFonts w:hint="default" w:ascii="Times New Roman" w:hAnsi="Times New Roman" w:cs="Times New Roman"/>
          <w:sz w:val="24"/>
          <w:szCs w:val="24"/>
        </w:rPr>
      </w:pPr>
      <w:r>
        <w:rPr>
          <w:rFonts w:hint="default" w:ascii="Times New Roman" w:hAnsi="Times New Roman" w:cs="Times New Roman"/>
          <w:sz w:val="24"/>
          <w:szCs w:val="24"/>
        </w:rPr>
        <w:t>The analysis followed a structured four-stage approach.</w:t>
      </w:r>
    </w:p>
    <w:p w14:paraId="4B708FB0">
      <w:pPr>
        <w:rPr>
          <w:rFonts w:hint="default" w:ascii="Times New Roman" w:hAnsi="Times New Roman" w:cs="Times New Roman"/>
          <w:sz w:val="24"/>
          <w:szCs w:val="24"/>
        </w:rPr>
      </w:pPr>
    </w:p>
    <w:p w14:paraId="09AA5751">
      <w:pPr>
        <w:rPr>
          <w:rFonts w:hint="default" w:ascii="Times New Roman" w:hAnsi="Times New Roman" w:cs="Times New Roman"/>
          <w:sz w:val="24"/>
          <w:szCs w:val="24"/>
        </w:rPr>
      </w:pPr>
      <w:r>
        <w:rPr>
          <w:rFonts w:hint="default" w:ascii="Times New Roman" w:hAnsi="Times New Roman" w:cs="Times New Roman"/>
          <w:sz w:val="24"/>
          <w:szCs w:val="24"/>
        </w:rPr>
        <w:t>The first stage was data cleaning and preparation. The raw source file required stripping of currency formatting, handling of placeholder values such as dashes and bracketed negatives, and parsing of date fields. After cleaning, three derived columns were engineered to support downstream analysis: a margin column calculated as profit divided by sales, a discount percentage column calculated as discounts divided by gross sales, and an outlier flag identifying transactions whose profit fell more than three standard deviations from the mean. These derived fields are consistent across all three tools.</w:t>
      </w:r>
    </w:p>
    <w:p w14:paraId="306B1891">
      <w:pPr>
        <w:rPr>
          <w:rFonts w:hint="default" w:ascii="Times New Roman" w:hAnsi="Times New Roman" w:cs="Times New Roman"/>
          <w:sz w:val="24"/>
          <w:szCs w:val="24"/>
        </w:rPr>
      </w:pPr>
    </w:p>
    <w:p w14:paraId="2C4B86F0">
      <w:pPr>
        <w:rPr>
          <w:rFonts w:hint="default" w:ascii="Times New Roman" w:hAnsi="Times New Roman" w:cs="Times New Roman"/>
          <w:sz w:val="24"/>
          <w:szCs w:val="24"/>
        </w:rPr>
      </w:pPr>
      <w:r>
        <w:rPr>
          <w:rFonts w:hint="default" w:ascii="Times New Roman" w:hAnsi="Times New Roman" w:cs="Times New Roman"/>
          <w:sz w:val="24"/>
          <w:szCs w:val="24"/>
        </w:rPr>
        <w:t>The second stage was descriptive analysis. This established the shape of the data: total revenue, total cost, total profit, distribution of profit across the period, skewness of key financial variables, and identification of profit percentiles. This stage answers the question of what the data looks like before any attempt is made to explain it.</w:t>
      </w:r>
    </w:p>
    <w:p w14:paraId="3E4A924C">
      <w:pPr>
        <w:rPr>
          <w:rFonts w:hint="default" w:ascii="Times New Roman" w:hAnsi="Times New Roman" w:cs="Times New Roman"/>
          <w:sz w:val="24"/>
          <w:szCs w:val="24"/>
        </w:rPr>
      </w:pPr>
    </w:p>
    <w:p w14:paraId="117CB7EF">
      <w:pPr>
        <w:rPr>
          <w:rFonts w:hint="default" w:ascii="Times New Roman" w:hAnsi="Times New Roman" w:cs="Times New Roman"/>
          <w:sz w:val="24"/>
          <w:szCs w:val="24"/>
        </w:rPr>
      </w:pPr>
      <w:r>
        <w:rPr>
          <w:rFonts w:hint="default" w:ascii="Times New Roman" w:hAnsi="Times New Roman" w:cs="Times New Roman"/>
          <w:sz w:val="24"/>
          <w:szCs w:val="24"/>
        </w:rPr>
        <w:t>The third stage was segmented analysis. Financial performance was disaggregated by market, by product, by discount tier, and by month. Cross-tabulations were built to examine the interaction between market and discount tier, and between product and discount tier. This stage answers the question of where the variation in profit comes from.</w:t>
      </w:r>
    </w:p>
    <w:p w14:paraId="096F9B56">
      <w:pPr>
        <w:rPr>
          <w:rFonts w:hint="default" w:ascii="Times New Roman" w:hAnsi="Times New Roman" w:cs="Times New Roman"/>
          <w:sz w:val="24"/>
          <w:szCs w:val="24"/>
        </w:rPr>
      </w:pPr>
    </w:p>
    <w:p w14:paraId="7CA6852A">
      <w:pPr>
        <w:rPr>
          <w:rFonts w:hint="default" w:ascii="Times New Roman" w:hAnsi="Times New Roman" w:cs="Times New Roman"/>
          <w:sz w:val="24"/>
          <w:szCs w:val="24"/>
        </w:rPr>
      </w:pPr>
      <w:r>
        <w:rPr>
          <w:rFonts w:hint="default" w:ascii="Times New Roman" w:hAnsi="Times New Roman" w:cs="Times New Roman"/>
          <w:sz w:val="24"/>
          <w:szCs w:val="24"/>
        </w:rPr>
        <w:t>The fourth stage was inferential analysis. An ordinary least squares regression was fitted with profit as the dependent variable and discount tier, market, and product as categorical predictors. This stage answers the question of whether the observed patterns are statistically meaningful or could plausibly be attributed to random variation.</w:t>
      </w:r>
    </w:p>
    <w:p w14:paraId="15024A08">
      <w:pPr>
        <w:rPr>
          <w:rFonts w:hint="default" w:ascii="Times New Roman" w:hAnsi="Times New Roman" w:cs="Times New Roman"/>
          <w:sz w:val="24"/>
          <w:szCs w:val="24"/>
        </w:rPr>
      </w:pPr>
    </w:p>
    <w:p w14:paraId="68776AAF">
      <w:pPr>
        <w:rPr>
          <w:rFonts w:hint="default" w:ascii="Times New Roman" w:hAnsi="Times New Roman" w:cs="Times New Roman"/>
          <w:sz w:val="24"/>
          <w:szCs w:val="24"/>
        </w:rPr>
      </w:pPr>
      <w:r>
        <w:rPr>
          <w:rFonts w:hint="default" w:ascii="Times New Roman" w:hAnsi="Times New Roman" w:cs="Times New Roman"/>
          <w:sz w:val="24"/>
          <w:szCs w:val="24"/>
        </w:rPr>
        <w:t>The same analysis was then reproduced in SQL to demonstrate that identical results can be obtained through a query layer using aggregations, conditional aggregation, window functions, common table expressions, and joins.</w:t>
      </w:r>
    </w:p>
    <w:p w14:paraId="40E4B798">
      <w:pPr>
        <w:rPr>
          <w:rFonts w:hint="default" w:ascii="Times New Roman" w:hAnsi="Times New Roman" w:cs="Times New Roman"/>
          <w:sz w:val="24"/>
          <w:szCs w:val="24"/>
        </w:rPr>
      </w:pPr>
    </w:p>
    <w:p w14:paraId="072BFFD0">
      <w:pPr>
        <w:rPr>
          <w:rFonts w:hint="default" w:ascii="Times New Roman" w:hAnsi="Times New Roman" w:cs="Times New Roman"/>
          <w:b/>
          <w:bCs/>
          <w:sz w:val="24"/>
          <w:szCs w:val="24"/>
        </w:rPr>
      </w:pPr>
      <w:r>
        <w:rPr>
          <w:rFonts w:hint="default" w:ascii="Times New Roman" w:hAnsi="Times New Roman" w:cs="Times New Roman"/>
          <w:b/>
          <w:bCs/>
          <w:sz w:val="24"/>
          <w:szCs w:val="24"/>
        </w:rPr>
        <w:t>Key Findings</w:t>
      </w:r>
    </w:p>
    <w:p w14:paraId="52A918D5">
      <w:pPr>
        <w:rPr>
          <w:rFonts w:hint="default" w:ascii="Times New Roman" w:hAnsi="Times New Roman" w:cs="Times New Roman"/>
          <w:sz w:val="24"/>
          <w:szCs w:val="24"/>
        </w:rPr>
      </w:pPr>
    </w:p>
    <w:p w14:paraId="7058845B">
      <w:pPr>
        <w:rPr>
          <w:rFonts w:hint="default" w:ascii="Times New Roman" w:hAnsi="Times New Roman" w:cs="Times New Roman"/>
          <w:sz w:val="24"/>
          <w:szCs w:val="24"/>
        </w:rPr>
      </w:pPr>
      <w:r>
        <w:rPr>
          <w:rFonts w:hint="default" w:ascii="Times New Roman" w:hAnsi="Times New Roman" w:cs="Times New Roman"/>
          <w:sz w:val="24"/>
          <w:szCs w:val="24"/>
        </w:rPr>
        <w:t>The analysis produced six principal findings, each of which is discussed below.</w:t>
      </w:r>
    </w:p>
    <w:p w14:paraId="62AFD546">
      <w:pPr>
        <w:rPr>
          <w:rFonts w:hint="default" w:ascii="Times New Roman" w:hAnsi="Times New Roman" w:cs="Times New Roman"/>
          <w:sz w:val="24"/>
          <w:szCs w:val="24"/>
        </w:rPr>
      </w:pPr>
    </w:p>
    <w:p w14:paraId="14D9B44D">
      <w:pPr>
        <w:rPr>
          <w:rFonts w:hint="default" w:ascii="Times New Roman" w:hAnsi="Times New Roman" w:cs="Times New Roman"/>
          <w:sz w:val="24"/>
          <w:szCs w:val="24"/>
        </w:rPr>
      </w:pPr>
      <w:r>
        <w:rPr>
          <w:rFonts w:hint="default" w:ascii="Times New Roman" w:hAnsi="Times New Roman" w:cs="Times New Roman"/>
          <w:sz w:val="24"/>
          <w:szCs w:val="24"/>
        </w:rPr>
        <w:t>Profit margins are thin, and cost structure dominates. With cost of goods sold consuming 85.77 percent of revenue, the company operates on a 14.23 percent blended margin. This is the structural reality within which all other decisions must be made. A one percent reduction in cost of goods sold would add approximately 1.19 million directly to profit — an amount equivalent to roughly seven percent of total profit. This is the single largest and most reliable profit lever in the business, but it depends on supplier relationships and operational execution rather than on pricing or discount decisions.</w:t>
      </w:r>
    </w:p>
    <w:p w14:paraId="0954DFE2">
      <w:pPr>
        <w:rPr>
          <w:rFonts w:hint="default" w:ascii="Times New Roman" w:hAnsi="Times New Roman" w:cs="Times New Roman"/>
          <w:sz w:val="24"/>
          <w:szCs w:val="24"/>
        </w:rPr>
      </w:pPr>
    </w:p>
    <w:p w14:paraId="44703D63">
      <w:pPr>
        <w:rPr>
          <w:rFonts w:hint="default" w:ascii="Times New Roman" w:hAnsi="Times New Roman" w:cs="Times New Roman"/>
          <w:sz w:val="24"/>
          <w:szCs w:val="24"/>
        </w:rPr>
      </w:pPr>
      <w:r>
        <w:rPr>
          <w:rFonts w:hint="default" w:ascii="Times New Roman" w:hAnsi="Times New Roman" w:cs="Times New Roman"/>
          <w:sz w:val="24"/>
          <w:szCs w:val="24"/>
        </w:rPr>
        <w:t>The United States generates the most revenue but converts it worst. The US market produced approximately 25.0 million in revenue across the period, the highest of any market. However, it converted that revenue into profit at a margin of 11.97 percent — the lowest of all five markets and roughly four percentage points below France. The gap is not driven by pricing power or product mix alone. It is substantially driven by discount structure: the US carries a heavier share of high-discount transactions than any other market, and high-discount transactions are structurally less profitable. This makes the US the single largest opportunity for margin improvement through discount policy alone.</w:t>
      </w:r>
    </w:p>
    <w:p w14:paraId="48EC9000">
      <w:pPr>
        <w:rPr>
          <w:rFonts w:hint="default" w:ascii="Times New Roman" w:hAnsi="Times New Roman" w:cs="Times New Roman"/>
          <w:sz w:val="24"/>
          <w:szCs w:val="24"/>
        </w:rPr>
      </w:pPr>
    </w:p>
    <w:p w14:paraId="2B7D33DE">
      <w:pPr>
        <w:rPr>
          <w:rFonts w:hint="default" w:ascii="Times New Roman" w:hAnsi="Times New Roman" w:cs="Times New Roman"/>
          <w:sz w:val="24"/>
          <w:szCs w:val="24"/>
        </w:rPr>
      </w:pPr>
      <w:r>
        <w:rPr>
          <w:rFonts w:hint="default" w:ascii="Times New Roman" w:hAnsi="Times New Roman" w:cs="Times New Roman"/>
          <w:sz w:val="24"/>
          <w:szCs w:val="24"/>
        </w:rPr>
        <w:t>Discount policy is the largest controllable lever on profitability. Across the entire dataset, transactions in the low-discount tier earned approximately 23.64 in profit per unit, while transactions in the high-discount tier earned approximately 8.51 per unit. This is a roughly threefold difference in unit economics. The high-discount tier generates substantial profit in absolute terms only because it also generates substantial volume. At the level of the individual transaction, high discounts are the least efficient use of capital in the dataset. The regression model confirms that this relationship is statistically significant, meaning it is not an artefact of noise or a small number of unusual transactions.</w:t>
      </w:r>
    </w:p>
    <w:p w14:paraId="42990BAF">
      <w:pPr>
        <w:rPr>
          <w:rFonts w:hint="default" w:ascii="Times New Roman" w:hAnsi="Times New Roman" w:cs="Times New Roman"/>
          <w:sz w:val="24"/>
          <w:szCs w:val="24"/>
        </w:rPr>
      </w:pPr>
    </w:p>
    <w:p w14:paraId="179E09C5">
      <w:pPr>
        <w:rPr>
          <w:rFonts w:hint="default" w:ascii="Times New Roman" w:hAnsi="Times New Roman" w:cs="Times New Roman"/>
          <w:sz w:val="24"/>
          <w:szCs w:val="24"/>
        </w:rPr>
      </w:pPr>
      <w:r>
        <w:rPr>
          <w:rFonts w:hint="default" w:ascii="Times New Roman" w:hAnsi="Times New Roman" w:cs="Times New Roman"/>
          <w:sz w:val="24"/>
          <w:szCs w:val="24"/>
        </w:rPr>
        <w:t>Paseo is the profit engine of the business — and it does not need discounting. The Paseo product line generated approximately 4.80 million in profit across the period, representing 28 percent of total profit. No other product comes close. Critically, Paseo performs well across all discount tiers including the no-discount tier, which means the product has genuine pricing power. Every discounted Paseo transaction therefore represents margin that did not need to be given away. Stopping discounts on this product alone would recover a meaningful portion of the roughly 8 million in discounted Paseo revenue recorded in the dataset. This is the highest-confidence recommendation in the analysis because it does not depend on customer behaviour changing.</w:t>
      </w:r>
    </w:p>
    <w:p w14:paraId="10F0D171">
      <w:pPr>
        <w:rPr>
          <w:rFonts w:hint="default" w:ascii="Times New Roman" w:hAnsi="Times New Roman" w:cs="Times New Roman"/>
          <w:sz w:val="24"/>
          <w:szCs w:val="24"/>
        </w:rPr>
      </w:pPr>
    </w:p>
    <w:p w14:paraId="54F57536">
      <w:pPr>
        <w:rPr>
          <w:rFonts w:hint="default" w:ascii="Times New Roman" w:hAnsi="Times New Roman" w:cs="Times New Roman"/>
          <w:sz w:val="24"/>
          <w:szCs w:val="24"/>
        </w:rPr>
      </w:pPr>
      <w:r>
        <w:rPr>
          <w:rFonts w:hint="default" w:ascii="Times New Roman" w:hAnsi="Times New Roman" w:cs="Times New Roman"/>
          <w:sz w:val="24"/>
          <w:szCs w:val="24"/>
        </w:rPr>
        <w:t>Seasonality is highly concentrated in the fourth quarter. October alone accounted for 140 transactions, representing 20 percent of the year. The fourth quarter as a whole — October through December — carried approximately 45 percent of annual transaction volume. The first half of the year is comparatively quiet. This concentration creates both operational risk (the business is heavily exposed to a short window of demand) and operational opportunity (inventory, staffing, and marketing can be front-loaded into September and October with higher confidence than they can into the rest of the year).</w:t>
      </w:r>
    </w:p>
    <w:p w14:paraId="793FE6F9">
      <w:pPr>
        <w:rPr>
          <w:rFonts w:hint="default" w:ascii="Times New Roman" w:hAnsi="Times New Roman" w:cs="Times New Roman"/>
          <w:sz w:val="24"/>
          <w:szCs w:val="24"/>
        </w:rPr>
      </w:pPr>
    </w:p>
    <w:p w14:paraId="6073EEB7">
      <w:pPr>
        <w:rPr>
          <w:rFonts w:hint="default" w:ascii="Times New Roman" w:hAnsi="Times New Roman" w:cs="Times New Roman"/>
          <w:sz w:val="24"/>
          <w:szCs w:val="24"/>
        </w:rPr>
      </w:pPr>
      <w:r>
        <w:rPr>
          <w:rFonts w:hint="default" w:ascii="Times New Roman" w:hAnsi="Times New Roman" w:cs="Times New Roman"/>
          <w:sz w:val="24"/>
          <w:szCs w:val="24"/>
        </w:rPr>
        <w:t>France is the most efficient market in the portfolio. France generated approximately 3.78 million in profit — the highest of any market — on revenue of approximately 24.4 million, yielding a margin of 15.53 percent. This is more than three percentage points above the US. France achieves this not through higher prices but through a more favourable discount mix. The French market has a heavier concentration of low-discount and no-discount transactions, which is the structural reason its margin is superior. This pattern is directly replicable in other markets by adjusting discount policy.</w:t>
      </w:r>
    </w:p>
    <w:p w14:paraId="119EFABD">
      <w:pPr>
        <w:rPr>
          <w:rFonts w:hint="default" w:ascii="Times New Roman" w:hAnsi="Times New Roman" w:cs="Times New Roman"/>
          <w:sz w:val="24"/>
          <w:szCs w:val="24"/>
        </w:rPr>
      </w:pPr>
    </w:p>
    <w:p w14:paraId="517B143D">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Recommendations</w:t>
      </w:r>
    </w:p>
    <w:p w14:paraId="77F9E61F">
      <w:pPr>
        <w:rPr>
          <w:rFonts w:hint="default" w:ascii="Times New Roman" w:hAnsi="Times New Roman" w:cs="Times New Roman"/>
          <w:sz w:val="24"/>
          <w:szCs w:val="24"/>
        </w:rPr>
      </w:pPr>
    </w:p>
    <w:p w14:paraId="387D8DB6">
      <w:pPr>
        <w:rPr>
          <w:rFonts w:hint="default" w:ascii="Times New Roman" w:hAnsi="Times New Roman" w:cs="Times New Roman"/>
          <w:sz w:val="24"/>
          <w:szCs w:val="24"/>
        </w:rPr>
      </w:pPr>
      <w:r>
        <w:rPr>
          <w:rFonts w:hint="default" w:ascii="Times New Roman" w:hAnsi="Times New Roman" w:cs="Times New Roman"/>
          <w:sz w:val="24"/>
          <w:szCs w:val="24"/>
        </w:rPr>
        <w:t>The following recommendations follow directly from the findings. They are ordered by priority, with the highest-confidence and highest-impact actions first.</w:t>
      </w:r>
    </w:p>
    <w:p w14:paraId="30EA0A33">
      <w:pPr>
        <w:rPr>
          <w:rFonts w:hint="default" w:ascii="Times New Roman" w:hAnsi="Times New Roman" w:cs="Times New Roman"/>
          <w:sz w:val="24"/>
          <w:szCs w:val="24"/>
        </w:rPr>
      </w:pPr>
    </w:p>
    <w:p w14:paraId="7060C5C0">
      <w:pPr>
        <w:rPr>
          <w:rFonts w:hint="default" w:ascii="Times New Roman" w:hAnsi="Times New Roman" w:cs="Times New Roman"/>
          <w:sz w:val="24"/>
          <w:szCs w:val="24"/>
        </w:rPr>
      </w:pPr>
      <w:r>
        <w:rPr>
          <w:rFonts w:hint="default" w:ascii="Times New Roman" w:hAnsi="Times New Roman" w:cs="Times New Roman"/>
          <w:sz w:val="24"/>
          <w:szCs w:val="24"/>
        </w:rPr>
        <w:t>First, cap high-discount exposure in the United States. The US carries both the highest revenue and the lowest margin in the portfolio. The margin gap is driven substantially by discount structure. A disciplined cap on high-discount transactions in this market, with volume shifted toward the low-discount tier, would plausibly lift the US margin by two to three percentage points. On US revenue of 25 million, this represents approximately 500,000 to 750,000 in additional annual profit.</w:t>
      </w:r>
    </w:p>
    <w:p w14:paraId="255D9725">
      <w:pPr>
        <w:rPr>
          <w:rFonts w:hint="default" w:ascii="Times New Roman" w:hAnsi="Times New Roman" w:cs="Times New Roman"/>
          <w:sz w:val="24"/>
          <w:szCs w:val="24"/>
        </w:rPr>
      </w:pPr>
    </w:p>
    <w:p w14:paraId="6ED4645F">
      <w:pPr>
        <w:rPr>
          <w:rFonts w:hint="default" w:ascii="Times New Roman" w:hAnsi="Times New Roman" w:cs="Times New Roman"/>
          <w:sz w:val="24"/>
          <w:szCs w:val="24"/>
        </w:rPr>
      </w:pPr>
      <w:r>
        <w:rPr>
          <w:rFonts w:hint="default" w:ascii="Times New Roman" w:hAnsi="Times New Roman" w:cs="Times New Roman"/>
          <w:sz w:val="24"/>
          <w:szCs w:val="24"/>
        </w:rPr>
        <w:t>Second, reduce high-discount share across all markets. High-discount transactions should be reserved for genuine clearance situations rather than used as a routine sales tool. Every one percent of revenue shifted from the high tier to the low tier adds approximately 28,000 in profit. At scale, this is a substantial and repeatable improvement that does not require any change in total volume.</w:t>
      </w:r>
    </w:p>
    <w:p w14:paraId="15180DB1">
      <w:pPr>
        <w:rPr>
          <w:rFonts w:hint="default" w:ascii="Times New Roman" w:hAnsi="Times New Roman" w:cs="Times New Roman"/>
          <w:sz w:val="24"/>
          <w:szCs w:val="24"/>
        </w:rPr>
      </w:pPr>
    </w:p>
    <w:p w14:paraId="04027010">
      <w:pPr>
        <w:rPr>
          <w:rFonts w:hint="default" w:ascii="Times New Roman" w:hAnsi="Times New Roman" w:cs="Times New Roman"/>
          <w:sz w:val="24"/>
          <w:szCs w:val="24"/>
        </w:rPr>
      </w:pPr>
      <w:r>
        <w:rPr>
          <w:rFonts w:hint="default" w:ascii="Times New Roman" w:hAnsi="Times New Roman" w:cs="Times New Roman"/>
          <w:sz w:val="24"/>
          <w:szCs w:val="24"/>
        </w:rPr>
        <w:t>Third, stop discounting Paseo. Paseo already performs well at full price. There is no evidence that discounting it drives incremental volume sufficient to offset the margin given away. Removing discounts on this product recovers margin on roughly eight million of discounted Paseo revenue with no expected loss of demand. This is the single highest-confidence recommendation in the report.</w:t>
      </w:r>
    </w:p>
    <w:p w14:paraId="6635D4A3">
      <w:pPr>
        <w:rPr>
          <w:rFonts w:hint="default" w:ascii="Times New Roman" w:hAnsi="Times New Roman" w:cs="Times New Roman"/>
          <w:sz w:val="24"/>
          <w:szCs w:val="24"/>
        </w:rPr>
      </w:pPr>
    </w:p>
    <w:p w14:paraId="4AE1AC44">
      <w:pPr>
        <w:rPr>
          <w:rFonts w:hint="default" w:ascii="Times New Roman" w:hAnsi="Times New Roman" w:cs="Times New Roman"/>
          <w:sz w:val="24"/>
          <w:szCs w:val="24"/>
        </w:rPr>
      </w:pPr>
      <w:r>
        <w:rPr>
          <w:rFonts w:hint="default" w:ascii="Times New Roman" w:hAnsi="Times New Roman" w:cs="Times New Roman"/>
          <w:sz w:val="24"/>
          <w:szCs w:val="24"/>
        </w:rPr>
        <w:t>Fourth, target a one percent reduction in cost of goods sold. A one percent reduction across the full cost base adds approximately 1.19 million directly to profit. This requires supplier renegotiation, logistics optimisation, or product mix adjustment — all of which are slower to execute than discount policy changes, but the impact is large and durable.</w:t>
      </w:r>
    </w:p>
    <w:p w14:paraId="30CB7B84">
      <w:pPr>
        <w:rPr>
          <w:rFonts w:hint="default" w:ascii="Times New Roman" w:hAnsi="Times New Roman" w:cs="Times New Roman"/>
          <w:sz w:val="24"/>
          <w:szCs w:val="24"/>
        </w:rPr>
      </w:pPr>
    </w:p>
    <w:p w14:paraId="5F5B6BEA">
      <w:pPr>
        <w:rPr>
          <w:rFonts w:hint="default" w:ascii="Times New Roman" w:hAnsi="Times New Roman" w:cs="Times New Roman"/>
          <w:sz w:val="24"/>
          <w:szCs w:val="24"/>
        </w:rPr>
      </w:pPr>
      <w:r>
        <w:rPr>
          <w:rFonts w:hint="default" w:ascii="Times New Roman" w:hAnsi="Times New Roman" w:cs="Times New Roman"/>
          <w:sz w:val="24"/>
          <w:szCs w:val="24"/>
        </w:rPr>
        <w:t>Fifth, front-load inventory and staffing into the fourth quarter. Given that the fourth quarter carries 45 percent of annual volume, operational readiness during this window has an outsized effect on revenue capture. Inventory shortages or understaffing during peak periods directly translate into lost sales that cannot be recovered later in the year. Conversely, over-investment during the quieter first half of the year represents wasted working capital.</w:t>
      </w:r>
    </w:p>
    <w:p w14:paraId="2BA061F5">
      <w:pPr>
        <w:rPr>
          <w:rFonts w:hint="default" w:ascii="Times New Roman" w:hAnsi="Times New Roman" w:cs="Times New Roman"/>
          <w:sz w:val="24"/>
          <w:szCs w:val="24"/>
        </w:rPr>
      </w:pPr>
    </w:p>
    <w:p w14:paraId="49FE1231">
      <w:pPr>
        <w:rPr>
          <w:rFonts w:hint="default" w:ascii="Times New Roman" w:hAnsi="Times New Roman" w:cs="Times New Roman"/>
          <w:sz w:val="24"/>
          <w:szCs w:val="24"/>
        </w:rPr>
      </w:pPr>
      <w:r>
        <w:rPr>
          <w:rFonts w:hint="default" w:ascii="Times New Roman" w:hAnsi="Times New Roman" w:cs="Times New Roman"/>
          <w:sz w:val="24"/>
          <w:szCs w:val="24"/>
        </w:rPr>
        <w:t>Sixth, replicate the French discount mix in the US and Mexico. France achieves the highest margin in the portfolio through a structurally more favourable discount profile. The US and Mexico both operate with heavier discount exposure and lower resulting margins. Shifting the discount mix in those markets toward the French pattern would lift their blended margin toward fourteen percent or above, with corresponding profit impact at scale.</w:t>
      </w:r>
    </w:p>
    <w:p w14:paraId="59B3E341">
      <w:pPr>
        <w:rPr>
          <w:rFonts w:hint="default" w:ascii="Times New Roman" w:hAnsi="Times New Roman" w:cs="Times New Roman"/>
          <w:sz w:val="24"/>
          <w:szCs w:val="24"/>
        </w:rPr>
      </w:pPr>
    </w:p>
    <w:p w14:paraId="60BF889A">
      <w:pPr>
        <w:rPr>
          <w:rFonts w:hint="default" w:ascii="Times New Roman" w:hAnsi="Times New Roman" w:cs="Times New Roman"/>
          <w:b/>
          <w:bCs/>
          <w:sz w:val="24"/>
          <w:szCs w:val="24"/>
        </w:rPr>
      </w:pPr>
      <w:r>
        <w:rPr>
          <w:rFonts w:hint="default" w:ascii="Times New Roman" w:hAnsi="Times New Roman" w:cs="Times New Roman"/>
          <w:b/>
          <w:bCs/>
          <w:sz w:val="24"/>
          <w:szCs w:val="24"/>
        </w:rPr>
        <w:t>Limitations</w:t>
      </w:r>
    </w:p>
    <w:p w14:paraId="3019AC99">
      <w:pPr>
        <w:rPr>
          <w:rFonts w:hint="default" w:ascii="Times New Roman" w:hAnsi="Times New Roman" w:cs="Times New Roman"/>
          <w:sz w:val="24"/>
          <w:szCs w:val="24"/>
        </w:rPr>
      </w:pPr>
    </w:p>
    <w:p w14:paraId="4D7B6DE9">
      <w:pPr>
        <w:rPr>
          <w:rFonts w:hint="default" w:ascii="Times New Roman" w:hAnsi="Times New Roman" w:cs="Times New Roman"/>
          <w:sz w:val="24"/>
          <w:szCs w:val="24"/>
        </w:rPr>
      </w:pPr>
      <w:r>
        <w:rPr>
          <w:rFonts w:hint="default" w:ascii="Times New Roman" w:hAnsi="Times New Roman" w:cs="Times New Roman"/>
          <w:sz w:val="24"/>
          <w:szCs w:val="24"/>
        </w:rPr>
        <w:t>The analysis is subject to several limitations that should be understood before acting on the recommendations.</w:t>
      </w:r>
    </w:p>
    <w:p w14:paraId="3DCBCB60">
      <w:pPr>
        <w:rPr>
          <w:rFonts w:hint="default" w:ascii="Times New Roman" w:hAnsi="Times New Roman" w:cs="Times New Roman"/>
          <w:sz w:val="24"/>
          <w:szCs w:val="24"/>
        </w:rPr>
      </w:pPr>
    </w:p>
    <w:p w14:paraId="15260502">
      <w:pPr>
        <w:rPr>
          <w:rFonts w:hint="default" w:ascii="Times New Roman" w:hAnsi="Times New Roman" w:cs="Times New Roman"/>
          <w:sz w:val="24"/>
          <w:szCs w:val="24"/>
        </w:rPr>
      </w:pPr>
      <w:r>
        <w:rPr>
          <w:rFonts w:hint="default" w:ascii="Times New Roman" w:hAnsi="Times New Roman" w:cs="Times New Roman"/>
          <w:sz w:val="24"/>
          <w:szCs w:val="24"/>
        </w:rPr>
        <w:t>The dataset covers only two years, 2013 and 2014. This is sufficient to identify seasonality within a year but not sufficient to distinguish structural trends from temporary fluctuations. A longer time series would materially strengthen confidence in the seasonality findings.</w:t>
      </w:r>
    </w:p>
    <w:p w14:paraId="18D477CE">
      <w:pPr>
        <w:rPr>
          <w:rFonts w:hint="default" w:ascii="Times New Roman" w:hAnsi="Times New Roman" w:cs="Times New Roman"/>
          <w:sz w:val="24"/>
          <w:szCs w:val="24"/>
        </w:rPr>
      </w:pPr>
    </w:p>
    <w:p w14:paraId="623670F2">
      <w:pPr>
        <w:rPr>
          <w:rFonts w:hint="default" w:ascii="Times New Roman" w:hAnsi="Times New Roman" w:cs="Times New Roman"/>
          <w:sz w:val="24"/>
          <w:szCs w:val="24"/>
        </w:rPr>
      </w:pPr>
      <w:r>
        <w:rPr>
          <w:rFonts w:hint="default" w:ascii="Times New Roman" w:hAnsi="Times New Roman" w:cs="Times New Roman"/>
          <w:sz w:val="24"/>
          <w:szCs w:val="24"/>
        </w:rPr>
        <w:t>There is no cost inflation data in the dataset. As a result, it is not possible to separate the effect of price changes from the effect of volume changes on profit over time. The analysis treats cost as a fixed feature of each transaction, which is a reasonable simplification but not a complete picture.</w:t>
      </w:r>
    </w:p>
    <w:p w14:paraId="7A851980">
      <w:pPr>
        <w:rPr>
          <w:rFonts w:hint="default" w:ascii="Times New Roman" w:hAnsi="Times New Roman" w:cs="Times New Roman"/>
          <w:sz w:val="24"/>
          <w:szCs w:val="24"/>
        </w:rPr>
      </w:pPr>
    </w:p>
    <w:p w14:paraId="54401300">
      <w:pPr>
        <w:rPr>
          <w:rFonts w:hint="default" w:ascii="Times New Roman" w:hAnsi="Times New Roman" w:cs="Times New Roman"/>
          <w:sz w:val="24"/>
          <w:szCs w:val="24"/>
        </w:rPr>
      </w:pPr>
      <w:r>
        <w:rPr>
          <w:rFonts w:hint="default" w:ascii="Times New Roman" w:hAnsi="Times New Roman" w:cs="Times New Roman"/>
          <w:sz w:val="24"/>
          <w:szCs w:val="24"/>
        </w:rPr>
        <w:t>The currency is not labelled in the source data. All figures are treated as generic monetary units. This does not affect the relative findings or the recommendations, but it does mean the absolute figures should be interpreted with care in any external communication.</w:t>
      </w:r>
    </w:p>
    <w:p w14:paraId="293A2357">
      <w:pPr>
        <w:rPr>
          <w:rFonts w:hint="default" w:ascii="Times New Roman" w:hAnsi="Times New Roman" w:cs="Times New Roman"/>
          <w:sz w:val="24"/>
          <w:szCs w:val="24"/>
        </w:rPr>
      </w:pPr>
    </w:p>
    <w:p w14:paraId="5C96F4F2">
      <w:pPr>
        <w:rPr>
          <w:rFonts w:hint="default" w:ascii="Times New Roman" w:hAnsi="Times New Roman" w:cs="Times New Roman"/>
          <w:sz w:val="24"/>
          <w:szCs w:val="24"/>
        </w:rPr>
      </w:pPr>
      <w:r>
        <w:rPr>
          <w:rFonts w:hint="default" w:ascii="Times New Roman" w:hAnsi="Times New Roman" w:cs="Times New Roman"/>
          <w:sz w:val="24"/>
          <w:szCs w:val="24"/>
        </w:rPr>
        <w:t>There is no customer-level data. Segment analysis is therefore aggregate, and it is not possible to identify whether specific customers or customer groups are responsible for the high-discount pattern. This limits the precision of the discount policy recommendations in terms of how they would be operationally executed.</w:t>
      </w:r>
    </w:p>
    <w:p w14:paraId="69A77BED">
      <w:pPr>
        <w:rPr>
          <w:rFonts w:hint="default" w:ascii="Times New Roman" w:hAnsi="Times New Roman" w:cs="Times New Roman"/>
          <w:sz w:val="24"/>
          <w:szCs w:val="24"/>
        </w:rPr>
      </w:pPr>
    </w:p>
    <w:p w14:paraId="01C12E7D">
      <w:pPr>
        <w:rPr>
          <w:rFonts w:hint="default" w:ascii="Times New Roman" w:hAnsi="Times New Roman" w:cs="Times New Roman"/>
          <w:sz w:val="24"/>
          <w:szCs w:val="24"/>
        </w:rPr>
      </w:pPr>
      <w:r>
        <w:rPr>
          <w:rFonts w:hint="default" w:ascii="Times New Roman" w:hAnsi="Times New Roman" w:cs="Times New Roman"/>
          <w:sz w:val="24"/>
          <w:szCs w:val="24"/>
        </w:rPr>
        <w:t>The regression model treats the relationship between discount percentage and margin as linear. In practice, discount ladders are often non-linear, with disproportionate margin impact above certain thresholds. A non-linear specification would likely produce more nuanced coefficient estimates.</w:t>
      </w:r>
    </w:p>
    <w:p w14:paraId="44196D5D">
      <w:pPr>
        <w:rPr>
          <w:rFonts w:hint="default" w:ascii="Times New Roman" w:hAnsi="Times New Roman" w:cs="Times New Roman"/>
          <w:sz w:val="24"/>
          <w:szCs w:val="24"/>
        </w:rPr>
      </w:pPr>
    </w:p>
    <w:p w14:paraId="55659BC2">
      <w:pPr>
        <w:rPr>
          <w:rFonts w:hint="default" w:ascii="Times New Roman" w:hAnsi="Times New Roman" w:cs="Times New Roman"/>
          <w:b/>
          <w:bCs/>
          <w:sz w:val="24"/>
          <w:szCs w:val="24"/>
        </w:rPr>
      </w:pPr>
      <w:r>
        <w:rPr>
          <w:rFonts w:hint="default" w:ascii="Times New Roman" w:hAnsi="Times New Roman" w:cs="Times New Roman"/>
          <w:b/>
          <w:bCs/>
          <w:sz w:val="24"/>
          <w:szCs w:val="24"/>
        </w:rPr>
        <w:t>Next Steps</w:t>
      </w:r>
    </w:p>
    <w:p w14:paraId="02B83588">
      <w:pPr>
        <w:rPr>
          <w:rFonts w:hint="default" w:ascii="Times New Roman" w:hAnsi="Times New Roman" w:cs="Times New Roman"/>
          <w:sz w:val="24"/>
          <w:szCs w:val="24"/>
        </w:rPr>
      </w:pPr>
    </w:p>
    <w:p w14:paraId="32CBA6B4">
      <w:pPr>
        <w:rPr>
          <w:rFonts w:hint="default" w:ascii="Times New Roman" w:hAnsi="Times New Roman" w:cs="Times New Roman"/>
          <w:sz w:val="24"/>
          <w:szCs w:val="24"/>
        </w:rPr>
      </w:pPr>
      <w:r>
        <w:rPr>
          <w:rFonts w:hint="default" w:ascii="Times New Roman" w:hAnsi="Times New Roman" w:cs="Times New Roman"/>
          <w:sz w:val="24"/>
          <w:szCs w:val="24"/>
        </w:rPr>
        <w:t>Several analytical extensions would strengthen the conclusions of this report.</w:t>
      </w:r>
    </w:p>
    <w:p w14:paraId="383F17D8">
      <w:pPr>
        <w:rPr>
          <w:rFonts w:hint="default" w:ascii="Times New Roman" w:hAnsi="Times New Roman" w:cs="Times New Roman"/>
          <w:sz w:val="24"/>
          <w:szCs w:val="24"/>
        </w:rPr>
      </w:pPr>
    </w:p>
    <w:p w14:paraId="292D76DE">
      <w:pPr>
        <w:rPr>
          <w:rFonts w:hint="default" w:ascii="Times New Roman" w:hAnsi="Times New Roman" w:cs="Times New Roman"/>
          <w:sz w:val="24"/>
          <w:szCs w:val="24"/>
        </w:rPr>
      </w:pPr>
      <w:r>
        <w:rPr>
          <w:rFonts w:hint="default" w:ascii="Times New Roman" w:hAnsi="Times New Roman" w:cs="Times New Roman"/>
          <w:sz w:val="24"/>
          <w:szCs w:val="24"/>
        </w:rPr>
        <w:t>Fitting a mixed-effects model with month as a random effect would allow formal testing of seasonality while accounting for the hierarchical structure of the data. This would replace the descriptive seasonality findings with statistically tested ones.</w:t>
      </w:r>
    </w:p>
    <w:p w14:paraId="29E081A8">
      <w:pPr>
        <w:rPr>
          <w:rFonts w:hint="default" w:ascii="Times New Roman" w:hAnsi="Times New Roman" w:cs="Times New Roman"/>
          <w:sz w:val="24"/>
          <w:szCs w:val="24"/>
        </w:rPr>
      </w:pPr>
    </w:p>
    <w:p w14:paraId="25FBFD4C">
      <w:pPr>
        <w:rPr>
          <w:rFonts w:hint="default" w:ascii="Times New Roman" w:hAnsi="Times New Roman" w:cs="Times New Roman"/>
          <w:sz w:val="24"/>
          <w:szCs w:val="24"/>
        </w:rPr>
      </w:pPr>
      <w:r>
        <w:rPr>
          <w:rFonts w:hint="default" w:ascii="Times New Roman" w:hAnsi="Times New Roman" w:cs="Times New Roman"/>
          <w:sz w:val="24"/>
          <w:szCs w:val="24"/>
        </w:rPr>
        <w:t>Building a what-if simulation under alternative discount policies would allow the recommendations to be quantified more precisely. Rather than stating that capping high discounts in the US would add 500,000 to 750,000 in profit, the simulation would produce a point estimate with an uncertainty range.</w:t>
      </w:r>
    </w:p>
    <w:p w14:paraId="1F5DE362">
      <w:pPr>
        <w:rPr>
          <w:rFonts w:hint="default" w:ascii="Times New Roman" w:hAnsi="Times New Roman" w:cs="Times New Roman"/>
          <w:sz w:val="24"/>
          <w:szCs w:val="24"/>
        </w:rPr>
      </w:pPr>
    </w:p>
    <w:p w14:paraId="7FE14151">
      <w:pPr>
        <w:rPr>
          <w:rFonts w:hint="default" w:ascii="Times New Roman" w:hAnsi="Times New Roman" w:cs="Times New Roman"/>
          <w:sz w:val="24"/>
          <w:szCs w:val="24"/>
        </w:rPr>
      </w:pPr>
      <w:r>
        <w:rPr>
          <w:rFonts w:hint="default" w:ascii="Times New Roman" w:hAnsi="Times New Roman" w:cs="Times New Roman"/>
          <w:sz w:val="24"/>
          <w:szCs w:val="24"/>
        </w:rPr>
        <w:t>Conducting segment-level margin analysis would identify which customer segments are subsidising which others. This is a common pattern in commercial businesses and would provide a further lever for margin improvement.</w:t>
      </w:r>
    </w:p>
    <w:p w14:paraId="6BBA9E74">
      <w:pPr>
        <w:rPr>
          <w:rFonts w:hint="default" w:ascii="Times New Roman" w:hAnsi="Times New Roman" w:cs="Times New Roman"/>
          <w:sz w:val="24"/>
          <w:szCs w:val="24"/>
        </w:rPr>
      </w:pPr>
    </w:p>
    <w:p w14:paraId="43BF5243">
      <w:pPr>
        <w:rPr>
          <w:rFonts w:hint="default" w:ascii="Times New Roman" w:hAnsi="Times New Roman" w:cs="Times New Roman"/>
          <w:sz w:val="24"/>
          <w:szCs w:val="24"/>
        </w:rPr>
      </w:pPr>
      <w:r>
        <w:rPr>
          <w:rFonts w:hint="default" w:ascii="Times New Roman" w:hAnsi="Times New Roman" w:cs="Times New Roman"/>
          <w:sz w:val="24"/>
          <w:szCs w:val="24"/>
        </w:rPr>
        <w:t>Cohorting the 2013 and 2014 data separately would detect whether the mix of markets, products, and discount tiers is shifting over time. A shift toward higher discount reliance, for example, would be an early warning signal that current margin levels are not sustainable.</w:t>
      </w:r>
    </w:p>
    <w:p w14:paraId="06709F12">
      <w:pPr>
        <w:rPr>
          <w:rFonts w:hint="default" w:ascii="Times New Roman" w:hAnsi="Times New Roman" w:cs="Times New Roman"/>
          <w:sz w:val="24"/>
          <w:szCs w:val="24"/>
        </w:rPr>
      </w:pPr>
    </w:p>
    <w:p w14:paraId="53737458">
      <w:pP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Conclusion</w:t>
      </w:r>
    </w:p>
    <w:p w14:paraId="0FCE07FC">
      <w:pPr>
        <w:rPr>
          <w:rFonts w:hint="default" w:ascii="Times New Roman" w:hAnsi="Times New Roman" w:cs="Times New Roman"/>
          <w:sz w:val="24"/>
          <w:szCs w:val="24"/>
        </w:rPr>
      </w:pPr>
    </w:p>
    <w:p w14:paraId="15F1AB07">
      <w:pPr>
        <w:rPr>
          <w:rFonts w:hint="default" w:ascii="Times New Roman" w:hAnsi="Times New Roman" w:cs="Times New Roman"/>
          <w:sz w:val="24"/>
          <w:szCs w:val="24"/>
        </w:rPr>
      </w:pPr>
      <w:r>
        <w:rPr>
          <w:rFonts w:hint="default" w:ascii="Times New Roman" w:hAnsi="Times New Roman" w:cs="Times New Roman"/>
          <w:sz w:val="24"/>
          <w:szCs w:val="24"/>
        </w:rPr>
        <w:t>This analysis set out to determine where the company makes money, where it loses money, and what decisions would improve profitability. The findings are clear and consistent across all three analytical tools used.</w:t>
      </w:r>
    </w:p>
    <w:p w14:paraId="7ECBCFF2">
      <w:pPr>
        <w:rPr>
          <w:rFonts w:hint="default" w:ascii="Times New Roman" w:hAnsi="Times New Roman" w:cs="Times New Roman"/>
          <w:sz w:val="24"/>
          <w:szCs w:val="24"/>
        </w:rPr>
      </w:pPr>
    </w:p>
    <w:p w14:paraId="2E6D29CE">
      <w:pPr>
        <w:rPr>
          <w:rFonts w:hint="default" w:ascii="Times New Roman" w:hAnsi="Times New Roman" w:cs="Times New Roman"/>
          <w:sz w:val="24"/>
          <w:szCs w:val="24"/>
        </w:rPr>
      </w:pPr>
      <w:r>
        <w:rPr>
          <w:rFonts w:hint="default" w:ascii="Times New Roman" w:hAnsi="Times New Roman" w:cs="Times New Roman"/>
          <w:sz w:val="24"/>
          <w:szCs w:val="24"/>
        </w:rPr>
        <w:t>The company operates on a thin margin of 14.23 percent, with cost of goods sold consuming the overwhelming majority of revenue. Within that structure, discount policy emerges as the largest controllable lever. The difference in unit economics between low-discount and high-discount transactions is roughly threefold, and this relationship is statistically significant. Paseo is the profit engine of the business and does not require discounting. The United States is the largest revenue market but the weakest converter, driven substantially by discount mix. France is the most efficient market and provides a replicable template.</w:t>
      </w:r>
    </w:p>
    <w:p w14:paraId="4D6289BE">
      <w:pPr>
        <w:rPr>
          <w:rFonts w:hint="default" w:ascii="Times New Roman" w:hAnsi="Times New Roman" w:cs="Times New Roman"/>
          <w:sz w:val="24"/>
          <w:szCs w:val="24"/>
        </w:rPr>
      </w:pPr>
    </w:p>
    <w:p w14:paraId="5661839B">
      <w:pPr>
        <w:rPr>
          <w:rFonts w:hint="default" w:ascii="Times New Roman" w:hAnsi="Times New Roman" w:cs="Times New Roman"/>
          <w:sz w:val="24"/>
          <w:szCs w:val="24"/>
        </w:rPr>
      </w:pPr>
      <w:r>
        <w:rPr>
          <w:rFonts w:hint="default" w:ascii="Times New Roman" w:hAnsi="Times New Roman" w:cs="Times New Roman"/>
          <w:sz w:val="24"/>
          <w:szCs w:val="24"/>
        </w:rPr>
        <w:t>The recommendations in this report — capping high-discount exposure in the US, reducing high-discount share globally, stopping Paseo discounts, targeting cost reduction, preparing for Q4 concentration, and replicating the French discount mix — are all grounded in the data and can be executed without major structural change to the business. Taken together, they represent a credible path to a meaningful improvement in profitability over the next twelve months.</w:t>
      </w:r>
    </w:p>
    <w:p w14:paraId="248D0DA8">
      <w:pPr>
        <w:rPr>
          <w:rFonts w:hint="default" w:ascii="Times New Roman" w:hAnsi="Times New Roman" w:cs="Times New Roman"/>
          <w:sz w:val="24"/>
          <w:szCs w:val="24"/>
        </w:rPr>
      </w:pPr>
    </w:p>
    <w:p w14:paraId="5FC8ADBB">
      <w:pPr>
        <w:rPr>
          <w:rFonts w:hint="default" w:ascii="Times New Roman" w:hAnsi="Times New Roman" w:cs="Times New Roman"/>
          <w:sz w:val="24"/>
          <w:szCs w:val="24"/>
        </w:rPr>
      </w:pPr>
    </w:p>
    <w:p w14:paraId="6B8B6EF4">
      <w:pPr>
        <w:rPr>
          <w:rFonts w:hint="default" w:ascii="Times New Roman" w:hAnsi="Times New Roman" w:cs="Times New Roman"/>
          <w:i/>
          <w:iCs/>
          <w:sz w:val="24"/>
          <w:szCs w:val="24"/>
        </w:rPr>
      </w:pPr>
    </w:p>
    <w:p w14:paraId="490BA42B">
      <w:pPr>
        <w:rPr>
          <w:i/>
          <w:iCs/>
        </w:rPr>
      </w:pPr>
      <w:r>
        <w:rPr>
          <w:rFonts w:hint="default" w:ascii="Times New Roman" w:hAnsi="Times New Roman" w:cs="Times New Roman"/>
          <w:i/>
          <w:iCs/>
          <w:sz w:val="24"/>
          <w:szCs w:val="24"/>
        </w:rPr>
        <w:t>Analysis performed with Excel, Python, and SQL. All findings reconciled acro</w:t>
      </w:r>
      <w:r>
        <w:rPr>
          <w:rFonts w:hint="default"/>
          <w:i/>
          <w:iCs/>
        </w:rPr>
        <w:t>ss the three tools.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BE736A"/>
    <w:rsid w:val="009C4A0E"/>
    <w:rsid w:val="063A3ECF"/>
    <w:rsid w:val="17DA45B1"/>
    <w:rsid w:val="23BE7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2026-09-18T07:03:00Z</dcterms:created>
  <dc:creator>Trish Miranda</dc:creator>
  <cp:lastModifiedBy>Trish Miranda</cp:lastModifiedBy>
  <dcterms:modified xsi:type="dcterms:W3CDTF">2026-09-18T07:09:10Z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77BB717E41684B78A7C3C40A98D379E6_11</vt:lpwstr>
  </property>
  <property fmtid="{D5CDD505-2E9C-101B-9397-08002B2CF9AE}" pid="4" name="KSOTemplateDocerSaveRecord">
    <vt:lpwstr>eyJoZGlkIjoiZjE3NmZiMWZmZWVmMGVjZmFjMzc4YmMzZDhjZWFhZWIiLCJ1c2VySWQiOiI1Njc2MDMxNjM0NDkifQ==</vt:lpwstr>
  </property>
</Properties>
</file>