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40"/>
        </w:rPr>
        <w:t>A Structured Review of Research and Implementations Using the Customer Shopping Trends Dataset (2021–2026)</w:t>
      </w:r>
    </w:p>
    <w:p>
      <w:pPr>
        <w:jc w:val="center"/>
      </w:pPr>
      <w:r>
        <w:rPr>
          <w:i/>
          <w:sz w:val="24"/>
        </w:rPr>
        <w:t>Consumer Analytics, Customer Segmentation, Predictive Modeling, Business Intelligence, and Emerging AI Applications</w:t>
      </w:r>
    </w:p>
    <w:p/>
    <w:p>
      <w:pPr>
        <w:jc w:val="center"/>
      </w:pPr>
      <w:r>
        <w:rPr>
          <w:b/>
        </w:rPr>
        <w:t>Structured Review Paper</w:t>
      </w:r>
    </w:p>
    <w:p>
      <w:pPr>
        <w:jc w:val="center"/>
      </w:pPr>
      <w:r>
        <w:t>Review period: 2021 to September 2026</w:t>
      </w:r>
    </w:p>
    <w:p>
      <w:pPr>
        <w:jc w:val="center"/>
      </w:pPr>
      <w:r>
        <w:t>Dataset focus: Sourav Banerjee's Customer Shopping Trends Dataset (3,900 records)</w:t>
      </w:r>
    </w:p>
    <w:p>
      <w:r>
        <w:br w:type="page"/>
      </w:r>
    </w:p>
    <w:p>
      <w:pPr>
        <w:pStyle w:val="Heading1"/>
      </w:pPr>
      <w:r>
        <w:t>Abstract</w:t>
      </w:r>
    </w:p>
    <w:p>
      <w:r>
        <w:t>The Customer Shopping Trends Dataset has become a widely reused synthetic benchmark for teaching and prototyping consumer analytics, customer segmentation, predictive modeling, visualization, and retail business intelligence. This structured review synthesizes verified post-2020 research papers and documented implementations that explicitly use the dataset or its recognizable 3,900-record schema. The review covers formal publications, university projects, machine-learning portfolios, interactive applications, cloud data-engineering pipelines, and business-intelligence dashboards. Evidence was identified through publisher pages, academic indexes, university pages, GitHub repositories, professional project records, and the original Kaggle data card. The literature reveals five dominant application streams: exploratory consumer analytics, clustering-based segmentation, supervised prediction, dashboard/business-intelligence development, and emerging AI-assisted analytics. Formal studies show that K-Means can yield interpretable but weakly separated segments, while ensemble classifiers—especially Random Forest—can perform strongly when imbalance is addressed. A 2026 fashion-trend study demonstrates an extension from static behavioral analysis toward category forecasting using Random Forest, XGBoost, and SMOTE. However, the evidence base is constrained by the dataset's synthetic origin, cross-sectional structure, limited behavioral depth, inconsistent target definitions, sparse external validation, and frequent use of single train-test splits or portfolio-level evaluation. The review argues that future work should prioritize leakage-resistant experimental design, reproducible baselines, multi-method segmentation, explainability, fairness auditing, external or real-world validation, temporal enrichment, and hybrid modeling that connects segmentation with prediction. These directions can transform the dataset from a beginner-oriented teaching resource into a more rigorous benchmark for methodological research in retail analytics.</w:t>
      </w:r>
    </w:p>
    <w:p>
      <w:r>
        <w:t>Keywords: customer shopping behavior; customer segmentation; retail analytics; Random Forest; K-Means; XGBoost; business intelligence; synthetic data; consumer analytics; machine learning.</w:t>
      </w:r>
    </w:p>
    <w:p>
      <w:pPr>
        <w:pStyle w:val="Heading1"/>
      </w:pPr>
      <w:r>
        <w:t>1. Introduction</w:t>
      </w:r>
    </w:p>
    <w:p>
      <w:r>
        <w:t>Digital retail produces large volumes of customer, transaction, product, promotion, payment, and feedback data. Converting such data into useful decisions requires methods that can describe purchasing patterns, identify meaningful customer groups, predict future or latent outcomes, and communicate results through interpretable analytical systems. Customer analytics therefore sits at the intersection of marketing, information systems, statistics, machine learning, and business intelligence.</w:t>
      </w:r>
    </w:p>
    <w:p>
      <w:r>
        <w:t>The Customer Shopping Trends Dataset created by Sourav Banerjee has become a visible educational and prototyping resource in this space. The original Kaggle data card describes the resource as a synthetic dataset created for beginners learning data analysis and machine learning. It contains 3,900 records and variables describing age, gender, item purchased, product category, purchase amount, location, size, color, season, review rating, subscription status, shipping type, discount and promotional-code use, previous purchases, payment method, and purchase frequency (Banerjee, 2023). This combination makes the dataset unusually convenient for demonstrating descriptive analytics, segmentation, classification, visualization, and retail decision support.</w:t>
      </w:r>
    </w:p>
    <w:p>
      <w:r>
        <w:t>Evidence of reuse extends across published research, university coursework, public software projects, cloud engineering portfolios, and dashboard implementations. In formal research, Putri and Arianto (2024) compare Random Forest and Gradient Boosting for product-category prediction under class imbalance. Herliana et al. (2026) apply K-Means to customer segmentation and report a silhouette score of 0.187, indicating weak cluster separation. Umar et al. (2026) use Random Forest and XGBoost with SMOTE to project clothing-category trends and report accuracy around 68%. Beyond journals, Kasetsart University's ShopperTrends-Analyzer converts the dataset into an interactive MVC-based visualization application, while public projects use Streamlit, Power BI, SQL, Azure, and LLM-assisted visualization (Kasetsart University, 2024; Singh, n.d.; Pedasingu, 2024).</w:t>
      </w:r>
    </w:p>
    <w:p>
      <w:r>
        <w:t>Despite this breadth, reuse does not automatically imply scientific maturity. The dataset is synthetic, most records are cross-sectional, and many implementations are exploratory or pedagogical rather than externally validated studies. Extremely high reported predictive performance in some portfolio projects also raises questions about target construction, leakage, evaluation protocol, or overly easy label definitions. Consequently, a structured review is useful not only to catalog what has been done, but also to separate robust evidence from demonstration-level work and identify research designs that can produce more defensible contributions.</w:t>
      </w:r>
    </w:p>
    <w:p>
      <w:r>
        <w:t>This paper addresses four questions: (RQ1) How has the Customer Shopping Trends Dataset been used in post-2020 research and implementations? (RQ2) Which analytical methods and application objectives dominate the evidence base? (RQ3) What can be learned from comparative model and clustering results? and (RQ4) Which methodological gaps should guide future research using this dataset?</w:t>
      </w:r>
    </w:p>
    <w:p>
      <w:pPr>
        <w:pStyle w:val="Heading1"/>
      </w:pPr>
      <w:r>
        <w:t>2. Literature Review</w:t>
      </w:r>
    </w:p>
    <w:p>
      <w:pPr>
        <w:pStyle w:val="Heading2"/>
      </w:pPr>
      <w:r>
        <w:t>2.1 Dataset characteristics and analytical affordances</w:t>
      </w:r>
    </w:p>
    <w:p>
      <w:r>
        <w:t>The dataset supports several analytical perspectives because it mixes demographic, transactional, attitudinal, promotional, and behavioral-history variables. Purchase amount can support regression or spending analysis; product category and subscription status can be treated as classification targets; previous purchases and frequency can approximate loyalty; review rating can represent post-purchase satisfaction; and age, gender, season, location, discount use, payment method, and shipping type can serve as explanatory variables. At the same time, Customer ID is an identifier and should generally be excluded from predictive features unless there is a defensible longitudinal design. Its accidental inclusion can create spurious predictive signal.</w:t>
      </w:r>
    </w:p>
    <w:p>
      <w:r>
        <w:t>The synthetic nature of the data is central to interpretation. Banerjee (2023) explicitly positions the dataset as a beginner-oriented synthetic resource. Therefore, model performance on the dataset should be interpreted as performance on a constructed benchmark rather than evidence of deployable performance on real customers. This distinction is especially important when results are translated into managerial recommendations.</w:t>
      </w:r>
    </w:p>
    <w:p>
      <w:pPr>
        <w:pStyle w:val="Heading2"/>
      </w:pPr>
      <w:r>
        <w:t>2.2 Customer segmentation and clustering</w:t>
      </w:r>
    </w:p>
    <w:p>
      <w:r>
        <w:t>Segmentation is one of the clearest research streams. Herliana et al. (2026) apply the Knowledge Discovery in Databases framework to 1,000 records using Age, Purchase Amount, Previous Purchases, and Review Rating. StandardScaler is used before K-Means, the Elbow Method suggests three clusters, and profiling produces interpretable groups described as mature loyal high-spenders, satisfied new or occasional shoppers, and dissatisfied moderate shoppers. However, the silhouette score of 0.187 indicates weak separation. This result is methodologically valuable because it cautions against treating visually convenient clusters as naturally discrete customer types.</w:t>
      </w:r>
    </w:p>
    <w:p>
      <w:r>
        <w:t>Portfolio and university implementations broaden the clustering comparison. A Malaysian data-mining project documented by Fandy (2024) compares K-Means, hierarchical clustering, and density-based clustering to identify customer groups for marketing. An IDCamp 2024 project reports three business-oriented segments—high-value/low-frequency, budget-conscious/low-frequency, and medium-value/high-frequency customers—using encoding, binning, the Elbow Method, silhouette analysis, and visualization (Shaidatut T., 2024). A Vietnamese university project similarly frames clustering as a method for identifying target customer groups and seasonal product priorities (UEH Group 4, n.d.). Collectively, these studies show strong interest in segmentation but limited agreement on feature sets, preprocessing, distance metrics, cluster-validity criteria, or stability testing.</w:t>
      </w:r>
    </w:p>
    <w:p>
      <w:pPr>
        <w:pStyle w:val="Heading2"/>
      </w:pPr>
      <w:r>
        <w:t>2.3 Supervised prediction and ensemble learning</w:t>
      </w:r>
    </w:p>
    <w:p>
      <w:r>
        <w:t>Putri and Arianto (2024) provide one of the clearest formal predictive comparisons. Their study predicts product categories and explicitly addresses imbalanced classes through oversampling. Random Forest is reported to outperform Gradient Boosting, particularly for minority classes, with stronger and more balanced accuracy, precision, recall, and F1-score. This study demonstrates the value of ensemble methods but also highlights the importance of reporting class-sensitive metrics rather than accuracy alone.</w:t>
      </w:r>
    </w:p>
    <w:p>
      <w:r>
        <w:t>Umar et al. (2026) extend supervised modeling toward fashion-trend projection. Their 3,900-transaction dataset is combined with a small local inventory case, and the pipeline uses preprocessing, SMOTE, an 80:20 stratified split, Random Forest, XGBoost, and confusion-matrix-based evaluation. Random Forest achieves 67.56% accuracy and XGBoost approximately 68%, while the projected leading categories include jackets, coats, and shoes. The authors appropriately note that the local store sample is too small and lacks temporal/transaction dimensions for strong transfer-learning or hybrid-data claims. This explicit limitation is important because it distinguishes model demonstration from external validation.</w:t>
      </w:r>
    </w:p>
    <w:p>
      <w:r>
        <w:t>Other public implementations combine clustering and classification. Ajrina (2024) reports K-Means segmentation alongside SVM, Random Forest, Decision Tree, and KNN behavior prediction. The project reports a silhouette score of 0.75 and 100% accuracy for top classifiers. Such results are useful as evidence of technical experimentation, but they require careful replication because near-perfect classification on a small synthetic tabular dataset can indicate leakage, deterministic target relationships, oversampling before splitting, or an evaluation task that is not sufficiently challenging.</w:t>
      </w:r>
    </w:p>
    <w:p>
      <w:pPr>
        <w:pStyle w:val="Heading2"/>
      </w:pPr>
      <w:r>
        <w:t>2.4 Exploratory analytics, visualization, and business intelligence</w:t>
      </w:r>
    </w:p>
    <w:p>
      <w:r>
        <w:t>A large share of worldwide reuse is descriptive rather than predictive. Kasetsart University's ShopperTrends-Analyzer provides interactive bar, pie, line, scatter, histogram, and box-plot visualizations, filtering, top-item analysis, attribute exploration, and descriptive statistics within an MVC software architecture (Kasetsart University, 2024). The project illustrates how the dataset can support software-engineering education as well as analytics.</w:t>
      </w:r>
    </w:p>
    <w:p>
      <w:r>
        <w:t>Business-intelligence implementations frequently combine Python or SQL with Power BI. Public projects analyze purchase amount by category, preferred payment and shipping methods, seasonality, age, subscription status, repeat purchasing, and geographic variation. For example, Gidde (2023) documents SQL analysis and a Power BI dashboard covering 17 consumer-behavior questions on the 3,900 records. More recent end-to-end projects use PostgreSQL or MySQL, star-schema modeling, DAX, and Power BI to convert the same dataset into interactive customer-intelligence systems (Rahman, 2025; Sathe, 2026). These implementations show the dataset's value for analytics workflow training but typically do not test causal claims.</w:t>
      </w:r>
    </w:p>
    <w:p>
      <w:pPr>
        <w:pStyle w:val="Heading2"/>
      </w:pPr>
      <w:r>
        <w:t>2.5 Cloud and AI-assisted implementations</w:t>
      </w:r>
    </w:p>
    <w:p>
      <w:r>
        <w:t>Pedasingu (2024) documents an Azure end-to-end data-engineering implementation using Azure Data Factory, Data Lake Storage, Databricks, Synapse Analytics, and Power BI. The emphasis shifts from statistical modeling to extraction, transformation, storage, analysis, and visualization. This is an important application category because production analytics depends on reproducible data pipelines as much as on model selection.</w:t>
      </w:r>
    </w:p>
    <w:p>
      <w:r>
        <w:t>Singh's llm-data-viz project represents an emerging generative-AI direction. It combines the dataset with Microsoft LIDA, OpenAI GPT-3.5, Streamlit, and Google Colab to generate visualizations and insights. The project notes that GPT-3.5 failed on some user questions but performed reliably on model-generated questions, and proposes stronger models and memory/cache support as future work (Singh, n.d.). The contribution is exploratory, but it anticipates a broader shift toward natural-language interfaces for customer analytics.</w:t>
      </w:r>
    </w:p>
    <w:p>
      <w:pPr>
        <w:pStyle w:val="Heading1"/>
      </w:pPr>
      <w:r>
        <w:t>3. Methodology</w:t>
      </w:r>
    </w:p>
    <w:p>
      <w:pPr>
        <w:pStyle w:val="Heading2"/>
      </w:pPr>
      <w:r>
        <w:t>3.1 Review design</w:t>
      </w:r>
    </w:p>
    <w:p>
      <w:r>
        <w:t>This study uses a structured narrative review design. It is not presented as a full PRISMA systematic review because the evidence base includes heterogeneous source types—peer-reviewed papers, conference proceedings, university projects, GitHub repositories, professional project records, and technical implementations. The objective is therefore to synthesize verified reuse of one specific dataset while applying explicit inclusion and quality criteria.</w:t>
      </w:r>
    </w:p>
    <w:p>
      <w:pPr>
        <w:pStyle w:val="Heading2"/>
      </w:pPr>
      <w:r>
        <w:t>3.2 Search scope and identification strategy</w:t>
      </w:r>
    </w:p>
    <w:p>
      <w:r>
        <w:t>The publication window was restricted to post-2020 work (2021 to September 2026). Searches targeted the exact dataset name, recognizable filenames such as shopping_trends.csv and shopping_trends_updated.csv, the 3,900-record count, and distinctive variable combinations. Source verification prioritized original publisher pages, academic indexes, university-hosted pages, and first-party project repositories. Secondary profile pages were used only when they contained specific implementation details not otherwise available.</w:t>
      </w:r>
    </w:p>
    <w:p>
      <w:pPr>
        <w:pStyle w:val="Heading2"/>
      </w:pPr>
      <w:r>
        <w:t>3.3 Inclusion and exclusion criteria</w:t>
      </w:r>
    </w:p>
    <w:p>
      <w:r>
        <w:t>Sources were included when they (1) explicitly named the Customer Shopping Trends Dataset or linked the Sourav Banerjee Kaggle source; (2) reproduced the recognizable 3,900-record schema; or (3) provided a direct project/repository showing implementation with that dataset. Sources were excluded when they merely discussed generic customer-shopping behavior without dataset-level evidence, used a different similarly named dataset, or made unverifiable claims of corporate deployment. Dataset mirrors and catalog records were treated as evidence of dissemination, not as analytical studies.</w:t>
      </w:r>
    </w:p>
    <w:p>
      <w:pPr>
        <w:pStyle w:val="Heading2"/>
      </w:pPr>
      <w:r>
        <w:t>3.4 Data extraction and synthesis</w:t>
      </w:r>
    </w:p>
    <w:p>
      <w:r>
        <w:t>For each included analytical source, the review extracted year, country or institutional context where verifiable, application objective, method, target or feature focus, evaluation approach, reported result, and key limitation. Because source types vary substantially, quantitative meta-analysis was not appropriate. Instead, methods were grouped into segmentation, supervised prediction, exploratory/business intelligence, data engineering, and AI-assisted analytics. Formal research results were weighted more heavily than portfolio claims when drawing methodological conclusions.</w:t>
      </w:r>
    </w:p>
    <w:p>
      <w:pPr>
        <w:pStyle w:val="Heading1"/>
      </w:pPr>
      <w:r>
        <w:t>4. Comparative Analysis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pPr>
              <w:spacing w:after="20"/>
            </w:pPr>
            <w:r>
              <w:rPr>
                <w:b/>
                <w:sz w:val="16"/>
              </w:rPr>
              <w:t>Study / Project</w:t>
            </w:r>
          </w:p>
        </w:tc>
        <w:tc>
          <w:tcPr>
            <w:tcW w:type="dxa" w:w="1419"/>
          </w:tcPr>
          <w:p>
            <w:pPr>
              <w:spacing w:after="20"/>
            </w:pPr>
            <w:r>
              <w:rPr>
                <w:b/>
                <w:sz w:val="16"/>
              </w:rPr>
              <w:t>Year</w:t>
            </w:r>
          </w:p>
        </w:tc>
        <w:tc>
          <w:tcPr>
            <w:tcW w:type="dxa" w:w="1419"/>
          </w:tcPr>
          <w:p>
            <w:pPr>
              <w:spacing w:after="20"/>
            </w:pPr>
            <w:r>
              <w:rPr>
                <w:b/>
                <w:sz w:val="16"/>
              </w:rPr>
              <w:t>Type</w:t>
            </w:r>
          </w:p>
        </w:tc>
        <w:tc>
          <w:tcPr>
            <w:tcW w:type="dxa" w:w="1419"/>
          </w:tcPr>
          <w:p>
            <w:pPr>
              <w:spacing w:after="20"/>
            </w:pPr>
            <w:r>
              <w:rPr>
                <w:b/>
                <w:sz w:val="16"/>
              </w:rPr>
              <w:t>Primary Method</w:t>
            </w:r>
          </w:p>
        </w:tc>
        <w:tc>
          <w:tcPr>
            <w:tcW w:type="dxa" w:w="1419"/>
          </w:tcPr>
          <w:p>
            <w:pPr>
              <w:spacing w:after="20"/>
            </w:pPr>
            <w:r>
              <w:rPr>
                <w:b/>
                <w:sz w:val="16"/>
              </w:rPr>
              <w:t>Objective</w:t>
            </w:r>
          </w:p>
        </w:tc>
        <w:tc>
          <w:tcPr>
            <w:tcW w:type="dxa" w:w="1419"/>
          </w:tcPr>
          <w:p>
            <w:pPr>
              <w:spacing w:after="20"/>
            </w:pPr>
            <w:r>
              <w:rPr>
                <w:b/>
                <w:sz w:val="16"/>
              </w:rPr>
              <w:t>Reported Result</w:t>
            </w:r>
          </w:p>
        </w:tc>
        <w:tc>
          <w:tcPr>
            <w:tcW w:type="dxa" w:w="1419"/>
          </w:tcPr>
          <w:p>
            <w:pPr>
              <w:spacing w:after="20"/>
            </w:pPr>
            <w:r>
              <w:rPr>
                <w:b/>
                <w:sz w:val="16"/>
              </w:rPr>
              <w:t>Main Limitation</w:t>
            </w:r>
          </w:p>
        </w:tc>
      </w:tr>
      <w:tr>
        <w:tc>
          <w:tcPr>
            <w:tcW w:type="dxa" w:w="1419"/>
            <w:vAlign w:val="top"/>
          </w:tcPr>
          <w:p>
            <w:pPr>
              <w:spacing w:after="20"/>
            </w:pPr>
            <w:r>
              <w:rPr>
                <w:sz w:val="16"/>
              </w:rPr>
              <w:t>Putri &amp; Arianto</w:t>
            </w:r>
          </w:p>
        </w:tc>
        <w:tc>
          <w:tcPr>
            <w:tcW w:type="dxa" w:w="1419"/>
            <w:vAlign w:val="top"/>
          </w:tcPr>
          <w:p>
            <w:pPr>
              <w:spacing w:after="20"/>
            </w:pPr>
            <w:r>
              <w:rPr>
                <w:sz w:val="16"/>
              </w:rPr>
              <w:t>2024</w:t>
            </w:r>
          </w:p>
        </w:tc>
        <w:tc>
          <w:tcPr>
            <w:tcW w:type="dxa" w:w="1419"/>
            <w:vAlign w:val="top"/>
          </w:tcPr>
          <w:p>
            <w:pPr>
              <w:spacing w:after="20"/>
            </w:pPr>
            <w:r>
              <w:rPr>
                <w:sz w:val="16"/>
              </w:rPr>
              <w:t>Journal</w:t>
            </w:r>
          </w:p>
        </w:tc>
        <w:tc>
          <w:tcPr>
            <w:tcW w:type="dxa" w:w="1419"/>
            <w:vAlign w:val="top"/>
          </w:tcPr>
          <w:p>
            <w:pPr>
              <w:spacing w:after="20"/>
            </w:pPr>
            <w:r>
              <w:rPr>
                <w:sz w:val="16"/>
              </w:rPr>
              <w:t>Random Forest; Gradient Boosting; oversampling</w:t>
            </w:r>
          </w:p>
        </w:tc>
        <w:tc>
          <w:tcPr>
            <w:tcW w:type="dxa" w:w="1419"/>
            <w:vAlign w:val="top"/>
          </w:tcPr>
          <w:p>
            <w:pPr>
              <w:spacing w:after="20"/>
            </w:pPr>
            <w:r>
              <w:rPr>
                <w:sz w:val="16"/>
              </w:rPr>
              <w:t>Product-category prediction</w:t>
            </w:r>
          </w:p>
        </w:tc>
        <w:tc>
          <w:tcPr>
            <w:tcW w:type="dxa" w:w="1419"/>
            <w:vAlign w:val="top"/>
          </w:tcPr>
          <w:p>
            <w:pPr>
              <w:spacing w:after="20"/>
            </w:pPr>
            <w:r>
              <w:rPr>
                <w:sz w:val="16"/>
              </w:rPr>
              <w:t>RF superior; ~85% accuracy reported in full paper</w:t>
            </w:r>
          </w:p>
        </w:tc>
        <w:tc>
          <w:tcPr>
            <w:tcW w:type="dxa" w:w="1419"/>
            <w:vAlign w:val="top"/>
          </w:tcPr>
          <w:p>
            <w:pPr>
              <w:spacing w:after="20"/>
            </w:pPr>
            <w:r>
              <w:rPr>
                <w:sz w:val="16"/>
              </w:rPr>
              <w:t>Single dataset; synthetic data; limited external validation</w:t>
            </w:r>
          </w:p>
        </w:tc>
      </w:tr>
      <w:tr>
        <w:tc>
          <w:tcPr>
            <w:tcW w:type="dxa" w:w="1419"/>
            <w:vAlign w:val="top"/>
          </w:tcPr>
          <w:p>
            <w:pPr>
              <w:spacing w:after="20"/>
            </w:pPr>
            <w:r>
              <w:rPr>
                <w:sz w:val="16"/>
              </w:rPr>
              <w:t>Herliana et al.</w:t>
            </w:r>
          </w:p>
        </w:tc>
        <w:tc>
          <w:tcPr>
            <w:tcW w:type="dxa" w:w="1419"/>
            <w:vAlign w:val="top"/>
          </w:tcPr>
          <w:p>
            <w:pPr>
              <w:spacing w:after="20"/>
            </w:pPr>
            <w:r>
              <w:rPr>
                <w:sz w:val="16"/>
              </w:rPr>
              <w:t>2026</w:t>
            </w:r>
          </w:p>
        </w:tc>
        <w:tc>
          <w:tcPr>
            <w:tcW w:type="dxa" w:w="1419"/>
            <w:vAlign w:val="top"/>
          </w:tcPr>
          <w:p>
            <w:pPr>
              <w:spacing w:after="20"/>
            </w:pPr>
            <w:r>
              <w:rPr>
                <w:sz w:val="16"/>
              </w:rPr>
              <w:t>Conference</w:t>
            </w:r>
          </w:p>
        </w:tc>
        <w:tc>
          <w:tcPr>
            <w:tcW w:type="dxa" w:w="1419"/>
            <w:vAlign w:val="top"/>
          </w:tcPr>
          <w:p>
            <w:pPr>
              <w:spacing w:after="20"/>
            </w:pPr>
            <w:r>
              <w:rPr>
                <w:sz w:val="16"/>
              </w:rPr>
              <w:t>K-Means; StandardScaler; Elbow; silhouette</w:t>
            </w:r>
          </w:p>
        </w:tc>
        <w:tc>
          <w:tcPr>
            <w:tcW w:type="dxa" w:w="1419"/>
            <w:vAlign w:val="top"/>
          </w:tcPr>
          <w:p>
            <w:pPr>
              <w:spacing w:after="20"/>
            </w:pPr>
            <w:r>
              <w:rPr>
                <w:sz w:val="16"/>
              </w:rPr>
              <w:t>Customer segmentation</w:t>
            </w:r>
          </w:p>
        </w:tc>
        <w:tc>
          <w:tcPr>
            <w:tcW w:type="dxa" w:w="1419"/>
            <w:vAlign w:val="top"/>
          </w:tcPr>
          <w:p>
            <w:pPr>
              <w:spacing w:after="20"/>
            </w:pPr>
            <w:r>
              <w:rPr>
                <w:sz w:val="16"/>
              </w:rPr>
              <w:t>3 clusters; silhouette = 0.187</w:t>
            </w:r>
          </w:p>
        </w:tc>
        <w:tc>
          <w:tcPr>
            <w:tcW w:type="dxa" w:w="1419"/>
            <w:vAlign w:val="top"/>
          </w:tcPr>
          <w:p>
            <w:pPr>
              <w:spacing w:after="20"/>
            </w:pPr>
            <w:r>
              <w:rPr>
                <w:sz w:val="16"/>
              </w:rPr>
              <w:t>Weak cluster structure; 1,000-record subset</w:t>
            </w:r>
          </w:p>
        </w:tc>
      </w:tr>
      <w:tr>
        <w:tc>
          <w:tcPr>
            <w:tcW w:type="dxa" w:w="1419"/>
            <w:vAlign w:val="top"/>
          </w:tcPr>
          <w:p>
            <w:pPr>
              <w:spacing w:after="20"/>
            </w:pPr>
            <w:r>
              <w:rPr>
                <w:sz w:val="16"/>
              </w:rPr>
              <w:t>Umar et al.</w:t>
            </w:r>
          </w:p>
        </w:tc>
        <w:tc>
          <w:tcPr>
            <w:tcW w:type="dxa" w:w="1419"/>
            <w:vAlign w:val="top"/>
          </w:tcPr>
          <w:p>
            <w:pPr>
              <w:spacing w:after="20"/>
            </w:pPr>
            <w:r>
              <w:rPr>
                <w:sz w:val="16"/>
              </w:rPr>
              <w:t>2026</w:t>
            </w:r>
          </w:p>
        </w:tc>
        <w:tc>
          <w:tcPr>
            <w:tcW w:type="dxa" w:w="1419"/>
            <w:vAlign w:val="top"/>
          </w:tcPr>
          <w:p>
            <w:pPr>
              <w:spacing w:after="20"/>
            </w:pPr>
            <w:r>
              <w:rPr>
                <w:sz w:val="16"/>
              </w:rPr>
              <w:t>Journal</w:t>
            </w:r>
          </w:p>
        </w:tc>
        <w:tc>
          <w:tcPr>
            <w:tcW w:type="dxa" w:w="1419"/>
            <w:vAlign w:val="top"/>
          </w:tcPr>
          <w:p>
            <w:pPr>
              <w:spacing w:after="20"/>
            </w:pPr>
            <w:r>
              <w:rPr>
                <w:sz w:val="16"/>
              </w:rPr>
              <w:t>Random Forest; XGBoost; SMOTE</w:t>
            </w:r>
          </w:p>
        </w:tc>
        <w:tc>
          <w:tcPr>
            <w:tcW w:type="dxa" w:w="1419"/>
            <w:vAlign w:val="top"/>
          </w:tcPr>
          <w:p>
            <w:pPr>
              <w:spacing w:after="20"/>
            </w:pPr>
            <w:r>
              <w:rPr>
                <w:sz w:val="16"/>
              </w:rPr>
              <w:t>Fashion-category trend projection</w:t>
            </w:r>
          </w:p>
        </w:tc>
        <w:tc>
          <w:tcPr>
            <w:tcW w:type="dxa" w:w="1419"/>
            <w:vAlign w:val="top"/>
          </w:tcPr>
          <w:p>
            <w:pPr>
              <w:spacing w:after="20"/>
            </w:pPr>
            <w:r>
              <w:rPr>
                <w:sz w:val="16"/>
              </w:rPr>
              <w:t>RF 67.56%; XGBoost ~68%</w:t>
            </w:r>
          </w:p>
        </w:tc>
        <w:tc>
          <w:tcPr>
            <w:tcW w:type="dxa" w:w="1419"/>
            <w:vAlign w:val="top"/>
          </w:tcPr>
          <w:p>
            <w:pPr>
              <w:spacing w:after="20"/>
            </w:pPr>
            <w:r>
              <w:rPr>
                <w:sz w:val="16"/>
              </w:rPr>
              <w:t>Small local case; limited temporal information</w:t>
            </w:r>
          </w:p>
        </w:tc>
      </w:tr>
      <w:tr>
        <w:tc>
          <w:tcPr>
            <w:tcW w:type="dxa" w:w="1419"/>
            <w:vAlign w:val="top"/>
          </w:tcPr>
          <w:p>
            <w:pPr>
              <w:spacing w:after="20"/>
            </w:pPr>
            <w:r>
              <w:rPr>
                <w:sz w:val="16"/>
              </w:rPr>
              <w:t>Fandy</w:t>
            </w:r>
          </w:p>
        </w:tc>
        <w:tc>
          <w:tcPr>
            <w:tcW w:type="dxa" w:w="1419"/>
            <w:vAlign w:val="top"/>
          </w:tcPr>
          <w:p>
            <w:pPr>
              <w:spacing w:after="20"/>
            </w:pPr>
            <w:r>
              <w:rPr>
                <w:sz w:val="16"/>
              </w:rPr>
              <w:t>2024</w:t>
            </w:r>
          </w:p>
        </w:tc>
        <w:tc>
          <w:tcPr>
            <w:tcW w:type="dxa" w:w="1419"/>
            <w:vAlign w:val="top"/>
          </w:tcPr>
          <w:p>
            <w:pPr>
              <w:spacing w:after="20"/>
            </w:pPr>
            <w:r>
              <w:rPr>
                <w:sz w:val="16"/>
              </w:rPr>
              <w:t>University/project</w:t>
            </w:r>
          </w:p>
        </w:tc>
        <w:tc>
          <w:tcPr>
            <w:tcW w:type="dxa" w:w="1419"/>
            <w:vAlign w:val="top"/>
          </w:tcPr>
          <w:p>
            <w:pPr>
              <w:spacing w:after="20"/>
            </w:pPr>
            <w:r>
              <w:rPr>
                <w:sz w:val="16"/>
              </w:rPr>
              <w:t>K-Means; hierarchical; density-based clustering</w:t>
            </w:r>
          </w:p>
        </w:tc>
        <w:tc>
          <w:tcPr>
            <w:tcW w:type="dxa" w:w="1419"/>
            <w:vAlign w:val="top"/>
          </w:tcPr>
          <w:p>
            <w:pPr>
              <w:spacing w:after="20"/>
            </w:pPr>
            <w:r>
              <w:rPr>
                <w:sz w:val="16"/>
              </w:rPr>
              <w:t>Compare segmentation methods</w:t>
            </w:r>
          </w:p>
        </w:tc>
        <w:tc>
          <w:tcPr>
            <w:tcW w:type="dxa" w:w="1419"/>
            <w:vAlign w:val="top"/>
          </w:tcPr>
          <w:p>
            <w:pPr>
              <w:spacing w:after="20"/>
            </w:pPr>
            <w:r>
              <w:rPr>
                <w:sz w:val="16"/>
              </w:rPr>
              <w:t>Comparative clustering workflow</w:t>
            </w:r>
          </w:p>
        </w:tc>
        <w:tc>
          <w:tcPr>
            <w:tcW w:type="dxa" w:w="1419"/>
            <w:vAlign w:val="top"/>
          </w:tcPr>
          <w:p>
            <w:pPr>
              <w:spacing w:after="20"/>
            </w:pPr>
            <w:r>
              <w:rPr>
                <w:sz w:val="16"/>
              </w:rPr>
              <w:t>Portfolio-level evidence; metrics not fully standardized</w:t>
            </w:r>
          </w:p>
        </w:tc>
      </w:tr>
      <w:tr>
        <w:tc>
          <w:tcPr>
            <w:tcW w:type="dxa" w:w="1419"/>
            <w:vAlign w:val="top"/>
          </w:tcPr>
          <w:p>
            <w:pPr>
              <w:spacing w:after="20"/>
            </w:pPr>
            <w:r>
              <w:rPr>
                <w:sz w:val="16"/>
              </w:rPr>
              <w:t>Shaidatut T.</w:t>
            </w:r>
          </w:p>
        </w:tc>
        <w:tc>
          <w:tcPr>
            <w:tcW w:type="dxa" w:w="1419"/>
            <w:vAlign w:val="top"/>
          </w:tcPr>
          <w:p>
            <w:pPr>
              <w:spacing w:after="20"/>
            </w:pPr>
            <w:r>
              <w:rPr>
                <w:sz w:val="16"/>
              </w:rPr>
              <w:t>2024</w:t>
            </w:r>
          </w:p>
        </w:tc>
        <w:tc>
          <w:tcPr>
            <w:tcW w:type="dxa" w:w="1419"/>
            <w:vAlign w:val="top"/>
          </w:tcPr>
          <w:p>
            <w:pPr>
              <w:spacing w:after="20"/>
            </w:pPr>
            <w:r>
              <w:rPr>
                <w:sz w:val="16"/>
              </w:rPr>
              <w:t>Training project</w:t>
            </w:r>
          </w:p>
        </w:tc>
        <w:tc>
          <w:tcPr>
            <w:tcW w:type="dxa" w:w="1419"/>
            <w:vAlign w:val="top"/>
          </w:tcPr>
          <w:p>
            <w:pPr>
              <w:spacing w:after="20"/>
            </w:pPr>
            <w:r>
              <w:rPr>
                <w:sz w:val="16"/>
              </w:rPr>
              <w:t>Clustering; elbow; silhouette</w:t>
            </w:r>
          </w:p>
        </w:tc>
        <w:tc>
          <w:tcPr>
            <w:tcW w:type="dxa" w:w="1419"/>
            <w:vAlign w:val="top"/>
          </w:tcPr>
          <w:p>
            <w:pPr>
              <w:spacing w:after="20"/>
            </w:pPr>
            <w:r>
              <w:rPr>
                <w:sz w:val="16"/>
              </w:rPr>
              <w:t>Business segmentation</w:t>
            </w:r>
          </w:p>
        </w:tc>
        <w:tc>
          <w:tcPr>
            <w:tcW w:type="dxa" w:w="1419"/>
            <w:vAlign w:val="top"/>
          </w:tcPr>
          <w:p>
            <w:pPr>
              <w:spacing w:after="20"/>
            </w:pPr>
            <w:r>
              <w:rPr>
                <w:sz w:val="16"/>
              </w:rPr>
              <w:t>3 value/frequency segments</w:t>
            </w:r>
          </w:p>
        </w:tc>
        <w:tc>
          <w:tcPr>
            <w:tcW w:type="dxa" w:w="1419"/>
            <w:vAlign w:val="top"/>
          </w:tcPr>
          <w:p>
            <w:pPr>
              <w:spacing w:after="20"/>
            </w:pPr>
            <w:r>
              <w:rPr>
                <w:sz w:val="16"/>
              </w:rPr>
              <w:t>No external validation</w:t>
            </w:r>
          </w:p>
        </w:tc>
      </w:tr>
      <w:tr>
        <w:tc>
          <w:tcPr>
            <w:tcW w:type="dxa" w:w="1419"/>
            <w:vAlign w:val="top"/>
          </w:tcPr>
          <w:p>
            <w:pPr>
              <w:spacing w:after="20"/>
            </w:pPr>
            <w:r>
              <w:rPr>
                <w:sz w:val="16"/>
              </w:rPr>
              <w:t>Ajrina</w:t>
            </w:r>
          </w:p>
        </w:tc>
        <w:tc>
          <w:tcPr>
            <w:tcW w:type="dxa" w:w="1419"/>
            <w:vAlign w:val="top"/>
          </w:tcPr>
          <w:p>
            <w:pPr>
              <w:spacing w:after="20"/>
            </w:pPr>
            <w:r>
              <w:rPr>
                <w:sz w:val="16"/>
              </w:rPr>
              <w:t>2024</w:t>
            </w:r>
          </w:p>
        </w:tc>
        <w:tc>
          <w:tcPr>
            <w:tcW w:type="dxa" w:w="1419"/>
            <w:vAlign w:val="top"/>
          </w:tcPr>
          <w:p>
            <w:pPr>
              <w:spacing w:after="20"/>
            </w:pPr>
            <w:r>
              <w:rPr>
                <w:sz w:val="16"/>
              </w:rPr>
              <w:t>Portfolio</w:t>
            </w:r>
          </w:p>
        </w:tc>
        <w:tc>
          <w:tcPr>
            <w:tcW w:type="dxa" w:w="1419"/>
            <w:vAlign w:val="top"/>
          </w:tcPr>
          <w:p>
            <w:pPr>
              <w:spacing w:after="20"/>
            </w:pPr>
            <w:r>
              <w:rPr>
                <w:sz w:val="16"/>
              </w:rPr>
              <w:t>K-Means; SVM; RF; DT; KNN</w:t>
            </w:r>
          </w:p>
        </w:tc>
        <w:tc>
          <w:tcPr>
            <w:tcW w:type="dxa" w:w="1419"/>
            <w:vAlign w:val="top"/>
          </w:tcPr>
          <w:p>
            <w:pPr>
              <w:spacing w:after="20"/>
            </w:pPr>
            <w:r>
              <w:rPr>
                <w:sz w:val="16"/>
              </w:rPr>
              <w:t>Segmentation + behavior prediction</w:t>
            </w:r>
          </w:p>
        </w:tc>
        <w:tc>
          <w:tcPr>
            <w:tcW w:type="dxa" w:w="1419"/>
            <w:vAlign w:val="top"/>
          </w:tcPr>
          <w:p>
            <w:pPr>
              <w:spacing w:after="20"/>
            </w:pPr>
            <w:r>
              <w:rPr>
                <w:sz w:val="16"/>
              </w:rPr>
              <w:t>Silhouette .75; top models 100% accuracy</w:t>
            </w:r>
          </w:p>
        </w:tc>
        <w:tc>
          <w:tcPr>
            <w:tcW w:type="dxa" w:w="1419"/>
            <w:vAlign w:val="top"/>
          </w:tcPr>
          <w:p>
            <w:pPr>
              <w:spacing w:after="20"/>
            </w:pPr>
            <w:r>
              <w:rPr>
                <w:sz w:val="16"/>
              </w:rPr>
              <w:t>Possible leakage/easy target; replication needed</w:t>
            </w:r>
          </w:p>
        </w:tc>
      </w:tr>
      <w:tr>
        <w:tc>
          <w:tcPr>
            <w:tcW w:type="dxa" w:w="1419"/>
            <w:vAlign w:val="top"/>
          </w:tcPr>
          <w:p>
            <w:pPr>
              <w:spacing w:after="20"/>
            </w:pPr>
            <w:r>
              <w:rPr>
                <w:sz w:val="16"/>
              </w:rPr>
              <w:t>Kasetsart project</w:t>
            </w:r>
          </w:p>
        </w:tc>
        <w:tc>
          <w:tcPr>
            <w:tcW w:type="dxa" w:w="1419"/>
            <w:vAlign w:val="top"/>
          </w:tcPr>
          <w:p>
            <w:pPr>
              <w:spacing w:after="20"/>
            </w:pPr>
            <w:r>
              <w:rPr>
                <w:sz w:val="16"/>
              </w:rPr>
              <w:t>2024</w:t>
            </w:r>
          </w:p>
        </w:tc>
        <w:tc>
          <w:tcPr>
            <w:tcW w:type="dxa" w:w="1419"/>
            <w:vAlign w:val="top"/>
          </w:tcPr>
          <w:p>
            <w:pPr>
              <w:spacing w:after="20"/>
            </w:pPr>
            <w:r>
              <w:rPr>
                <w:sz w:val="16"/>
              </w:rPr>
              <w:t>University software</w:t>
            </w:r>
          </w:p>
        </w:tc>
        <w:tc>
          <w:tcPr>
            <w:tcW w:type="dxa" w:w="1419"/>
            <w:vAlign w:val="top"/>
          </w:tcPr>
          <w:p>
            <w:pPr>
              <w:spacing w:after="20"/>
            </w:pPr>
            <w:r>
              <w:rPr>
                <w:sz w:val="16"/>
              </w:rPr>
              <w:t>Interactive visualization; MVC</w:t>
            </w:r>
          </w:p>
        </w:tc>
        <w:tc>
          <w:tcPr>
            <w:tcW w:type="dxa" w:w="1419"/>
            <w:vAlign w:val="top"/>
          </w:tcPr>
          <w:p>
            <w:pPr>
              <w:spacing w:after="20"/>
            </w:pPr>
            <w:r>
              <w:rPr>
                <w:sz w:val="16"/>
              </w:rPr>
              <w:t>Shopping-trend exploration</w:t>
            </w:r>
          </w:p>
        </w:tc>
        <w:tc>
          <w:tcPr>
            <w:tcW w:type="dxa" w:w="1419"/>
            <w:vAlign w:val="top"/>
          </w:tcPr>
          <w:p>
            <w:pPr>
              <w:spacing w:after="20"/>
            </w:pPr>
            <w:r>
              <w:rPr>
                <w:sz w:val="16"/>
              </w:rPr>
              <w:t>Working analysis application</w:t>
            </w:r>
          </w:p>
        </w:tc>
        <w:tc>
          <w:tcPr>
            <w:tcW w:type="dxa" w:w="1419"/>
            <w:vAlign w:val="top"/>
          </w:tcPr>
          <w:p>
            <w:pPr>
              <w:spacing w:after="20"/>
            </w:pPr>
            <w:r>
              <w:rPr>
                <w:sz w:val="16"/>
              </w:rPr>
              <w:t>Descriptive; no predictive validation</w:t>
            </w:r>
          </w:p>
        </w:tc>
      </w:tr>
      <w:tr>
        <w:tc>
          <w:tcPr>
            <w:tcW w:type="dxa" w:w="1419"/>
            <w:vAlign w:val="top"/>
          </w:tcPr>
          <w:p>
            <w:pPr>
              <w:spacing w:after="20"/>
            </w:pPr>
            <w:r>
              <w:rPr>
                <w:sz w:val="16"/>
              </w:rPr>
              <w:t>Singh</w:t>
            </w:r>
          </w:p>
        </w:tc>
        <w:tc>
          <w:tcPr>
            <w:tcW w:type="dxa" w:w="1419"/>
            <w:vAlign w:val="top"/>
          </w:tcPr>
          <w:p>
            <w:pPr>
              <w:spacing w:after="20"/>
            </w:pPr>
            <w:r>
              <w:rPr>
                <w:sz w:val="16"/>
              </w:rPr>
              <w:t>n.d.</w:t>
            </w:r>
          </w:p>
        </w:tc>
        <w:tc>
          <w:tcPr>
            <w:tcW w:type="dxa" w:w="1419"/>
            <w:vAlign w:val="top"/>
          </w:tcPr>
          <w:p>
            <w:pPr>
              <w:spacing w:after="20"/>
            </w:pPr>
            <w:r>
              <w:rPr>
                <w:sz w:val="16"/>
              </w:rPr>
              <w:t>GitHub/AI</w:t>
            </w:r>
          </w:p>
        </w:tc>
        <w:tc>
          <w:tcPr>
            <w:tcW w:type="dxa" w:w="1419"/>
            <w:vAlign w:val="top"/>
          </w:tcPr>
          <w:p>
            <w:pPr>
              <w:spacing w:after="20"/>
            </w:pPr>
            <w:r>
              <w:rPr>
                <w:sz w:val="16"/>
              </w:rPr>
              <w:t>LIDA; GPT-3.5; Streamlit</w:t>
            </w:r>
          </w:p>
        </w:tc>
        <w:tc>
          <w:tcPr>
            <w:tcW w:type="dxa" w:w="1419"/>
            <w:vAlign w:val="top"/>
          </w:tcPr>
          <w:p>
            <w:pPr>
              <w:spacing w:after="20"/>
            </w:pPr>
            <w:r>
              <w:rPr>
                <w:sz w:val="16"/>
              </w:rPr>
              <w:t>LLM-assisted visualization</w:t>
            </w:r>
          </w:p>
        </w:tc>
        <w:tc>
          <w:tcPr>
            <w:tcW w:type="dxa" w:w="1419"/>
            <w:vAlign w:val="top"/>
          </w:tcPr>
          <w:p>
            <w:pPr>
              <w:spacing w:after="20"/>
            </w:pPr>
            <w:r>
              <w:rPr>
                <w:sz w:val="16"/>
              </w:rPr>
              <w:t>Mixed question-answer reliability</w:t>
            </w:r>
          </w:p>
        </w:tc>
        <w:tc>
          <w:tcPr>
            <w:tcW w:type="dxa" w:w="1419"/>
            <w:vAlign w:val="top"/>
          </w:tcPr>
          <w:p>
            <w:pPr>
              <w:spacing w:after="20"/>
            </w:pPr>
            <w:r>
              <w:rPr>
                <w:sz w:val="16"/>
              </w:rPr>
              <w:t>Model failures; no benchmark evaluation</w:t>
            </w:r>
          </w:p>
        </w:tc>
      </w:tr>
      <w:tr>
        <w:tc>
          <w:tcPr>
            <w:tcW w:type="dxa" w:w="1419"/>
            <w:vAlign w:val="top"/>
          </w:tcPr>
          <w:p>
            <w:pPr>
              <w:spacing w:after="20"/>
            </w:pPr>
            <w:r>
              <w:rPr>
                <w:sz w:val="16"/>
              </w:rPr>
              <w:t>Pedasingu</w:t>
            </w:r>
          </w:p>
        </w:tc>
        <w:tc>
          <w:tcPr>
            <w:tcW w:type="dxa" w:w="1419"/>
            <w:vAlign w:val="top"/>
          </w:tcPr>
          <w:p>
            <w:pPr>
              <w:spacing w:after="20"/>
            </w:pPr>
            <w:r>
              <w:rPr>
                <w:sz w:val="16"/>
              </w:rPr>
              <w:t>2024</w:t>
            </w:r>
          </w:p>
        </w:tc>
        <w:tc>
          <w:tcPr>
            <w:tcW w:type="dxa" w:w="1419"/>
            <w:vAlign w:val="top"/>
          </w:tcPr>
          <w:p>
            <w:pPr>
              <w:spacing w:after="20"/>
            </w:pPr>
            <w:r>
              <w:rPr>
                <w:sz w:val="16"/>
              </w:rPr>
              <w:t>Cloud project</w:t>
            </w:r>
          </w:p>
        </w:tc>
        <w:tc>
          <w:tcPr>
            <w:tcW w:type="dxa" w:w="1419"/>
            <w:vAlign w:val="top"/>
          </w:tcPr>
          <w:p>
            <w:pPr>
              <w:spacing w:after="20"/>
            </w:pPr>
            <w:r>
              <w:rPr>
                <w:sz w:val="16"/>
              </w:rPr>
              <w:t>ADF; ADLS; Databricks; Synapse; Power BI</w:t>
            </w:r>
          </w:p>
        </w:tc>
        <w:tc>
          <w:tcPr>
            <w:tcW w:type="dxa" w:w="1419"/>
            <w:vAlign w:val="top"/>
          </w:tcPr>
          <w:p>
            <w:pPr>
              <w:spacing w:after="20"/>
            </w:pPr>
            <w:r>
              <w:rPr>
                <w:sz w:val="16"/>
              </w:rPr>
              <w:t>End-to-end data engineering</w:t>
            </w:r>
          </w:p>
        </w:tc>
        <w:tc>
          <w:tcPr>
            <w:tcW w:type="dxa" w:w="1419"/>
            <w:vAlign w:val="top"/>
          </w:tcPr>
          <w:p>
            <w:pPr>
              <w:spacing w:after="20"/>
            </w:pPr>
            <w:r>
              <w:rPr>
                <w:sz w:val="16"/>
              </w:rPr>
              <w:t>Operational analytics pipeline</w:t>
            </w:r>
          </w:p>
        </w:tc>
        <w:tc>
          <w:tcPr>
            <w:tcW w:type="dxa" w:w="1419"/>
            <w:vAlign w:val="top"/>
          </w:tcPr>
          <w:p>
            <w:pPr>
              <w:spacing w:after="20"/>
            </w:pPr>
            <w:r>
              <w:rPr>
                <w:sz w:val="16"/>
              </w:rPr>
              <w:t>No formal model validation</w:t>
            </w:r>
          </w:p>
        </w:tc>
      </w:tr>
      <w:tr>
        <w:tc>
          <w:tcPr>
            <w:tcW w:type="dxa" w:w="1419"/>
            <w:vAlign w:val="top"/>
          </w:tcPr>
          <w:p>
            <w:pPr>
              <w:spacing w:after="20"/>
            </w:pPr>
            <w:r>
              <w:rPr>
                <w:sz w:val="16"/>
              </w:rPr>
              <w:t>Gidde</w:t>
            </w:r>
          </w:p>
        </w:tc>
        <w:tc>
          <w:tcPr>
            <w:tcW w:type="dxa" w:w="1419"/>
            <w:vAlign w:val="top"/>
          </w:tcPr>
          <w:p>
            <w:pPr>
              <w:spacing w:after="20"/>
            </w:pPr>
            <w:r>
              <w:rPr>
                <w:sz w:val="16"/>
              </w:rPr>
              <w:t>2023</w:t>
            </w:r>
          </w:p>
        </w:tc>
        <w:tc>
          <w:tcPr>
            <w:tcW w:type="dxa" w:w="1419"/>
            <w:vAlign w:val="top"/>
          </w:tcPr>
          <w:p>
            <w:pPr>
              <w:spacing w:after="20"/>
            </w:pPr>
            <w:r>
              <w:rPr>
                <w:sz w:val="16"/>
              </w:rPr>
              <w:t>BI project</w:t>
            </w:r>
          </w:p>
        </w:tc>
        <w:tc>
          <w:tcPr>
            <w:tcW w:type="dxa" w:w="1419"/>
            <w:vAlign w:val="top"/>
          </w:tcPr>
          <w:p>
            <w:pPr>
              <w:spacing w:after="20"/>
            </w:pPr>
            <w:r>
              <w:rPr>
                <w:sz w:val="16"/>
              </w:rPr>
              <w:t>SQL; Power BI</w:t>
            </w:r>
          </w:p>
        </w:tc>
        <w:tc>
          <w:tcPr>
            <w:tcW w:type="dxa" w:w="1419"/>
            <w:vAlign w:val="top"/>
          </w:tcPr>
          <w:p>
            <w:pPr>
              <w:spacing w:after="20"/>
            </w:pPr>
            <w:r>
              <w:rPr>
                <w:sz w:val="16"/>
              </w:rPr>
              <w:t>17 business questions</w:t>
            </w:r>
          </w:p>
        </w:tc>
        <w:tc>
          <w:tcPr>
            <w:tcW w:type="dxa" w:w="1419"/>
            <w:vAlign w:val="top"/>
          </w:tcPr>
          <w:p>
            <w:pPr>
              <w:spacing w:after="20"/>
            </w:pPr>
            <w:r>
              <w:rPr>
                <w:sz w:val="16"/>
              </w:rPr>
              <w:t>Dashboard-based customer insights</w:t>
            </w:r>
          </w:p>
        </w:tc>
        <w:tc>
          <w:tcPr>
            <w:tcW w:type="dxa" w:w="1419"/>
            <w:vAlign w:val="top"/>
          </w:tcPr>
          <w:p>
            <w:pPr>
              <w:spacing w:after="20"/>
            </w:pPr>
            <w:r>
              <w:rPr>
                <w:sz w:val="16"/>
              </w:rPr>
              <w:t>Descriptive and non-causal</w:t>
            </w:r>
          </w:p>
        </w:tc>
      </w:tr>
    </w:tbl>
    <w:p>
      <w:pPr>
        <w:pStyle w:val="Heading2"/>
      </w:pPr>
      <w:r>
        <w:t>4.1 Comparison of analytical objectives</w:t>
      </w:r>
    </w:p>
    <w:p>
      <w:r>
        <w:t>The evidence shows a progression from description to decision support. Exploratory projects ask what customers buy, how spending varies across age, gender, season or location, and which payment or shipping options are common. Segmentation projects ask whether customers can be grouped into actionable behavioral profiles. Supervised studies ask whether categories or behaviors can be predicted. Cloud and dashboard projects emphasize repeatable delivery of insights, while AI-assisted projects explore natural-language interaction with the analytical process.</w:t>
      </w:r>
    </w:p>
    <w:p>
      <w:pPr>
        <w:pStyle w:val="Heading2"/>
      </w:pPr>
      <w:r>
        <w:t>4.2 Comparison of algorithms and evaluation</w:t>
      </w:r>
    </w:p>
    <w:p>
      <w:r>
        <w:t>K-Means dominates clustering because it is simple, interpretable, and easy to visualize, but the 0.187 silhouette reported by Herliana et al. (2026) shows that convenience does not guarantee strong natural clusters. Future clustering comparisons should therefore include hierarchical methods, Gaussian mixture models, DBSCAN/HDBSCAN, k-prototypes for mixed data, stability analysis across resamples, and multiple internal validity indices.</w:t>
      </w:r>
    </w:p>
    <w:p>
      <w:r>
        <w:t>For classification, Random Forest is the most consistently successful method in the formal evidence. Its advantage is plausible on mixed, nonlinear tabular data because tree ensembles handle interactions and do not require linear relationships. Yet performance comparisons are not fully standardized across studies. Different targets, feature sets, imbalance procedures, train-test splits, and metrics make direct ranking inappropriate. In particular, oversampling must occur only within training folds; otherwise synthetic examples can leak information into validation data and inflate performance.</w:t>
      </w:r>
    </w:p>
    <w:p>
      <w:pPr>
        <w:pStyle w:val="Heading2"/>
      </w:pPr>
      <w:r>
        <w:t>4.3 Scientific evidence versus implementation evidence</w:t>
      </w:r>
    </w:p>
    <w:p>
      <w:r>
        <w:t>A major distinction is required between peer-reviewed evidence and portfolio implementation. Published papers provide clearer methodology and evaluation, but even these remain limited by the synthetic benchmark. University and GitHub projects demonstrate geographic reach, reproducibility skills, software development, visualization, and engineering integration, yet their reported business recommendations should not be interpreted as validated retail effects. The most defensible interpretation is that the dataset has substantial educational and prototyping utility and a smaller but growing formal research footprint.</w:t>
      </w:r>
    </w:p>
    <w:p>
      <w:pPr>
        <w:pStyle w:val="Heading1"/>
      </w:pPr>
      <w:r>
        <w:t>5. Research Gaps</w:t>
      </w:r>
    </w:p>
    <w:p>
      <w:r>
        <w:rPr>
          <w:b/>
        </w:rPr>
        <w:t xml:space="preserve">Synthetic-to-real validity gap. </w:t>
      </w:r>
      <w:r>
        <w:t>The dataset was explicitly created as synthetic educational data. Very few studies validate findings on real transaction, CRM, loyalty, or clickstream data. Consequently, external validity is the central unresolved issue.</w:t>
      </w:r>
    </w:p>
    <w:p>
      <w:r>
        <w:rPr>
          <w:b/>
        </w:rPr>
        <w:t xml:space="preserve">Target-definition gap. </w:t>
      </w:r>
      <w:r>
        <w:t>Studies use product category, shopping behavior, subscription status, trend category, or customer segments as outcomes without a shared benchmark protocol. This prevents cumulative comparison.</w:t>
      </w:r>
    </w:p>
    <w:p>
      <w:r>
        <w:rPr>
          <w:b/>
        </w:rPr>
        <w:t xml:space="preserve">Data-leakage and evaluation gap. </w:t>
      </w:r>
      <w:r>
        <w:t>Identifier variables, oversampling before splitting, target-derived features, and one-off train-test splits can produce optimistic results. Near-perfect portfolio accuracy should be treated cautiously until replicated under leakage-resistant cross-validation.</w:t>
      </w:r>
    </w:p>
    <w:p>
      <w:r>
        <w:rPr>
          <w:b/>
        </w:rPr>
        <w:t xml:space="preserve">Temporal gap. </w:t>
      </w:r>
      <w:r>
        <w:t>The dataset contains season but lacks a true transaction timestamp sequence. Forecasting claims are therefore limited because season labels are not equivalent to longitudinal time series.</w:t>
      </w:r>
    </w:p>
    <w:p>
      <w:r>
        <w:rPr>
          <w:b/>
        </w:rPr>
        <w:t xml:space="preserve">Segmentation-validation gap. </w:t>
      </w:r>
      <w:r>
        <w:t>Most clustering work emphasizes K-Means and business naming of clusters. Few studies test cluster stability, alternative distance functions, mixed-type clustering, or downstream usefulness.</w:t>
      </w:r>
    </w:p>
    <w:p>
      <w:r>
        <w:rPr>
          <w:b/>
        </w:rPr>
        <w:t xml:space="preserve">Explainability gap. </w:t>
      </w:r>
      <w:r>
        <w:t>Formal dataset-specific work rarely applies SHAP, permutation importance, partial dependence, counterfactual explanation, or segment-specific explanation to identify why predictions are made.</w:t>
      </w:r>
    </w:p>
    <w:p>
      <w:r>
        <w:rPr>
          <w:b/>
        </w:rPr>
        <w:t xml:space="preserve">Fairness and responsible-analytics gap. </w:t>
      </w:r>
      <w:r>
        <w:t>Gender, age, and location are available, but systematic subgroup performance, bias auditing, and fairness-aware modeling are largely absent.</w:t>
      </w:r>
    </w:p>
    <w:p>
      <w:r>
        <w:rPr>
          <w:b/>
        </w:rPr>
        <w:t xml:space="preserve">Reproducibility gap. </w:t>
      </w:r>
      <w:r>
        <w:t>Many projects publish code, but formal studies do not yet converge on a common preprocessing pipeline, fixed folds, shared metrics, or reproducible benchmark leaderboard.</w:t>
      </w:r>
    </w:p>
    <w:p>
      <w:r>
        <w:rPr>
          <w:b/>
        </w:rPr>
        <w:t xml:space="preserve">Causal-inference gap. </w:t>
      </w:r>
      <w:r>
        <w:t>Descriptive associations between discounts, subscriptions, reviews, and spending are often translated into recommendations, but the cross-sectional synthetic data cannot establish causal effects.</w:t>
      </w:r>
    </w:p>
    <w:p>
      <w:r>
        <w:rPr>
          <w:b/>
        </w:rPr>
        <w:t xml:space="preserve">Deployment and monitoring gap. </w:t>
      </w:r>
      <w:r>
        <w:t>Cloud and dashboard implementations demonstrate pipeline skills, but model drift, monitoring, data-quality checks, governance, privacy, and decision impact are rarely evaluated.</w:t>
      </w:r>
    </w:p>
    <w:p>
      <w:pPr>
        <w:pStyle w:val="Heading1"/>
      </w:pPr>
      <w:r>
        <w:t>6. Future Directions</w:t>
      </w:r>
    </w:p>
    <w:p>
      <w:r>
        <w:t>A stronger next generation of research should treat the dataset as a controlled benchmark rather than as a substitute for real retail evidence. The most valuable contribution would combine segmentation, prediction, and explainability in one leakage-resistant pipeline and then validate the conclusions on an independent real-world dataset.</w:t>
      </w:r>
    </w:p>
    <w:p>
      <w:r>
        <w:rPr>
          <w:b/>
        </w:rPr>
        <w:t xml:space="preserve">Benchmark protocol: </w:t>
      </w:r>
      <w:r>
        <w:t>Define fixed train/validation/test splits or repeated stratified cross-validation; exclude Customer ID; document encoding and scaling; apply resampling only inside training folds; report macro-F1, balanced accuracy, ROC-AUC/PR-AUC where appropriate, and confidence intervals.</w:t>
      </w:r>
    </w:p>
    <w:p>
      <w:r>
        <w:rPr>
          <w:b/>
        </w:rPr>
        <w:t xml:space="preserve">Hybrid segmentation-prediction design: </w:t>
      </w:r>
      <w:r>
        <w:t>Discover customer segments with multiple clustering algorithms, test stability, then evaluate whether segment membership improves prediction of subscription, spending class, or product category.</w:t>
      </w:r>
    </w:p>
    <w:p>
      <w:r>
        <w:rPr>
          <w:b/>
        </w:rPr>
        <w:t xml:space="preserve">Explainable machine learning: </w:t>
      </w:r>
      <w:r>
        <w:t>Use SHAP or permutation importance to identify global and segment-specific drivers. Compare whether discount use, previous purchases, purchase frequency, review rating, age, or category consistently influence predictions.</w:t>
      </w:r>
    </w:p>
    <w:p>
      <w:r>
        <w:rPr>
          <w:b/>
        </w:rPr>
        <w:t xml:space="preserve">Fairness-aware analysis: </w:t>
      </w:r>
      <w:r>
        <w:t>Report performance by age and gender groups, inspect calibration and error disparities, and distinguish descriptive demographic differences from normative targeting decisions.</w:t>
      </w:r>
    </w:p>
    <w:p>
      <w:r>
        <w:rPr>
          <w:b/>
        </w:rPr>
        <w:t xml:space="preserve">Temporal enrichment: </w:t>
      </w:r>
      <w:r>
        <w:t>Augment the benchmark with synthetic or real timestamps and repeated customer transactions to enable sequence modeling, churn analysis, customer lifetime value, and genuine forecasting.</w:t>
      </w:r>
    </w:p>
    <w:p>
      <w:r>
        <w:rPr>
          <w:b/>
        </w:rPr>
        <w:t xml:space="preserve">External validation: </w:t>
      </w:r>
      <w:r>
        <w:t>Replicate the pipeline on a real retail dataset such as transaction logs, loyalty data, or public e-commerce clickstream data and compare feature effects and model rankings.</w:t>
      </w:r>
    </w:p>
    <w:p>
      <w:r>
        <w:rPr>
          <w:b/>
        </w:rPr>
        <w:t xml:space="preserve">Causal extensions: </w:t>
      </w:r>
      <w:r>
        <w:t>Where real intervention data are available, test promotion and subscription effects with randomized experiments, uplift modeling, propensity methods, or causal forests rather than relying on simple association.</w:t>
      </w:r>
    </w:p>
    <w:p>
      <w:r>
        <w:rPr>
          <w:b/>
        </w:rPr>
        <w:t xml:space="preserve">Generative-AI analytics: </w:t>
      </w:r>
      <w:r>
        <w:t>Evaluate LLM-assisted visualization and question answering against a gold-standard set of analytical questions, measuring correctness, reproducibility, hallucination rate, and code safety.</w:t>
      </w:r>
    </w:p>
    <w:p>
      <w:r>
        <w:rPr>
          <w:b/>
        </w:rPr>
        <w:t xml:space="preserve">MLOps and BI integration: </w:t>
      </w:r>
      <w:r>
        <w:t>Connect validated models to reproducible ETL pipelines, model registries, monitoring, dashboards, and decision workflows. Evaluation should include not only predictive metrics but latency, maintainability, data-quality failures, and stakeholder usefulness.</w:t>
      </w:r>
    </w:p>
    <w:p>
      <w:r>
        <w:rPr>
          <w:b/>
        </w:rPr>
        <w:t xml:space="preserve">Open benchmark package: </w:t>
      </w:r>
      <w:r>
        <w:t>Publish a versioned repository with data dictionary, preprocessing scripts, baseline notebooks, fixed evaluation protocol, model cards, fairness report, and reproducible environment.</w:t>
      </w:r>
    </w:p>
    <w:p>
      <w:pPr>
        <w:pStyle w:val="Heading1"/>
      </w:pPr>
      <w:r>
        <w:t>7. Conclusion</w:t>
      </w:r>
    </w:p>
    <w:p>
      <w:r>
        <w:t>This structured review shows that the Customer Shopping Trends Dataset has achieved broad international reuse across research, education, software development, business intelligence, cloud engineering, and emerging generative-AI analytics. Its 3,900-record synthetic schema is accessible enough for beginner learning yet rich enough to support segmentation, classification, visualization, and end-to-end analytical pipelines. Formal studies demonstrate both useful results and important cautions: Random Forest can outperform Gradient Boosting under imbalanced classification; K-Means can produce interpretable segments even when cluster separation is weak; and fashion-category prediction with Random Forest/XGBoost can reach moderate accuracy while still facing external-validation limitations (Putri &amp; Arianto, 2024; Herliana et al., 2026; Umar et al., 2026).</w:t>
      </w:r>
    </w:p>
    <w:p>
      <w:r>
        <w:t>The central conclusion is that the dataset's greatest scientific opportunity lies not in obtaining another isolated accuracy score or dashboard, but in building a reproducible benchmark that integrates robust preprocessing, multi-method segmentation, supervised prediction, explainability, fairness, and external validation. Because the data are synthetic, managerial claims should remain provisional until replicated on real customers. Future studies that explicitly address leakage, temporal structure, cluster stability, subgroup performance, and cross-dataset generalization can substantially improve the quality of research built around this widely reused resource.</w:t>
      </w:r>
    </w:p>
    <w:p>
      <w:pPr>
        <w:pStyle w:val="Heading1"/>
      </w:pPr>
      <w:r>
        <w:t>References</w:t>
      </w:r>
    </w:p>
    <w:p>
      <w:pPr>
        <w:spacing w:after="100"/>
        <w:ind w:left="432" w:hanging="432"/>
      </w:pPr>
      <w:r>
        <w:t>Ajrina, N. N. (2024). Customer Segmentation &amp; Shopping Behavior Prediction [Portfolio project]. LinkedIn. https://id.linkedin.com/in/navynurlyn</w:t>
      </w:r>
    </w:p>
    <w:p>
      <w:pPr>
        <w:spacing w:after="100"/>
        <w:ind w:left="432" w:hanging="432"/>
      </w:pPr>
      <w:r>
        <w:t>Banerjee, S. (2023). Customer Shopping Trends Dataset [Data set]. Kaggle. https://www.kaggle.com/datasets/iamsouravbanerjee/customer-shopping-trends-dataset</w:t>
      </w:r>
    </w:p>
    <w:p>
      <w:pPr>
        <w:spacing w:after="100"/>
        <w:ind w:left="432" w:hanging="432"/>
      </w:pPr>
      <w:r>
        <w:t>Fandy, N. (2024). Cluster Analysis on Customer Segmentation for Marketing Strategy on Customer Shopping Trends Dataset [Data mining project]. https://naqiudinfandy.github.io/project.html#analysis</w:t>
      </w:r>
    </w:p>
    <w:p>
      <w:pPr>
        <w:spacing w:after="100"/>
        <w:ind w:left="432" w:hanging="432"/>
      </w:pPr>
      <w:r>
        <w:t>Gidde, S. (2023). Customer Shopping Trends: SQL analysis and Power BI dashboard [Project]. LinkedIn. https://www.linkedin.com/posts/siddhantgidde_dataanalytics-dataanalysis-dataanalyst-activity-7130804872735592448-ZH5J</w:t>
      </w:r>
    </w:p>
    <w:p>
      <w:pPr>
        <w:spacing w:after="100"/>
        <w:ind w:left="432" w:hanging="432"/>
      </w:pPr>
      <w:r>
        <w:t>Herliana, N. E., Pamudya, S. D., Febrianto, E. J., &amp; Pratama, V. M. D. (2026). Implementasi K-Means Clustering Untuk Segmentasi Pelanggan Menggunakan Customer Shopping Trend Dataset. Prosiding Seminar Nasional Teknologi Informasi dan Bisnis (SENATIB) 2026. https://ojs.udb.ac.id/Senatib/article/view/6703</w:t>
      </w:r>
    </w:p>
    <w:p>
      <w:pPr>
        <w:spacing w:after="100"/>
        <w:ind w:left="432" w:hanging="432"/>
      </w:pPr>
      <w:r>
        <w:t>Kasetsart University. (2024). ShopperTrends-Analyzer [University software project]. Computer Engineering e-Course. https://ecourse.cpe.ku.ac.th/tpm/project/prog2-23s</w:t>
      </w:r>
    </w:p>
    <w:p>
      <w:pPr>
        <w:spacing w:after="100"/>
        <w:ind w:left="432" w:hanging="432"/>
      </w:pPr>
      <w:r>
        <w:t>Pedasingu, N. (2024). Azure End to End Data Engineering Project - Customer Shopping Trends Dataset [Project]. LinkedIn. https://uk.linkedin.com/in/naveen-pedasingu-0a132b2b1</w:t>
      </w:r>
    </w:p>
    <w:p>
      <w:pPr>
        <w:spacing w:after="100"/>
        <w:ind w:left="432" w:hanging="432"/>
      </w:pPr>
      <w:r>
        <w:t>Putri, F., &amp; Arianto, D. B. (2024). Perbandingan performa Random Forest dan Gradient Boosting dalam prediksi pada dataset Customer Shopping Trends. Kohesi: Jurnal Sains dan Teknologi, 5(11), 1–10. https://garuda.kemdiktisaintek.go.id/journal/view/32384?issue=Vol.+5+No.+11+%282024%29%3A+Kohesi%3A+Jurnal+Sains+dan+Teknologi</w:t>
      </w:r>
    </w:p>
    <w:p>
      <w:pPr>
        <w:spacing w:after="100"/>
        <w:ind w:left="432" w:hanging="432"/>
      </w:pPr>
      <w:r>
        <w:t>Rahman, M. M. (2025). Shopping Trend Analysis: End-to-end customer analytics with PostgreSQL and Power BI [Project]. LinkedIn/GitHub project record. https://www.linkedin.com/posts/md-montasir-rahman_github-montasir-rahmanshopping-trend-analysis-activity-7373596179533594624-iLEG</w:t>
      </w:r>
    </w:p>
    <w:p>
      <w:pPr>
        <w:spacing w:after="100"/>
        <w:ind w:left="432" w:hanging="432"/>
      </w:pPr>
      <w:r>
        <w:t>Sathe, T. (2026). Customer Shopping Behavior Analysis with Python, SQL, PostgreSQL, and Power BI [Project]. LinkedIn. https://www.linkedin.com/posts/tushar3533_dataanalytics-dataanalyst-powerbi-activity-7467206547077566464-kZXV</w:t>
      </w:r>
    </w:p>
    <w:p>
      <w:pPr>
        <w:spacing w:after="100"/>
        <w:ind w:left="432" w:hanging="432"/>
      </w:pPr>
      <w:r>
        <w:t>Shaidatut T., A. (2024). Customer Segmentation - IDCamp 2024 Data Scientist [Machine-learning project]. GitHub. https://github.com/annisaast/IDCamp2024/tree/main/machine-learning-project</w:t>
      </w:r>
    </w:p>
    <w:p>
      <w:pPr>
        <w:spacing w:after="100"/>
        <w:ind w:left="432" w:hanging="432"/>
      </w:pPr>
      <w:r>
        <w:t>Singh, A. (n.d.). llm-data-viz: Implementing LIDA using OpenAI GPT-3.5 to perform data visualization [Software project]. GitHub. https://github.com/aishwarya-singh25/llm-data-viz</w:t>
      </w:r>
    </w:p>
    <w:p>
      <w:pPr>
        <w:spacing w:after="100"/>
        <w:ind w:left="432" w:hanging="432"/>
      </w:pPr>
      <w:r>
        <w:t>Umar, N. A., Hidayat, A. I. H., &amp; Paula, E. W. (2026). Proyeksi Tren Kategori Pakaian Mendatang Menggunakan Random Forest pada Data Transaksi Pelanggan. Management of Information System Journal, 4(3). https://doi.org/10.47065/mis.v4i3.2776</w:t>
      </w:r>
    </w:p>
    <w:p>
      <w:pPr>
        <w:spacing w:after="100"/>
        <w:ind w:left="432" w:hanging="432"/>
      </w:pPr>
      <w:r>
        <w:t>UEH Group 4. (n.d.). Phân tích bộ dữ liệu Customer Shopping Trends Dataset [Data Science course project]. University of Economics Ho Chi Minh City. https://www.scribd.com/document/776553978/TI%E1%BB%82U-LU%E1%BA%ACN-CU%E1%BB%90I-KI-NHOM-4</w:t>
      </w:r>
    </w:p>
    <w:p>
      <w:pPr>
        <w:spacing w:after="100"/>
        <w:ind w:left="432" w:hanging="432"/>
      </w:pPr>
      <w:r>
        <w:t>Universiti Teknologi MARA Cawangan Sabah, Group 3. (2023). Customer Shopping Trends Data Set: UCS551 Introduction to Data Analytics and Application [Group project]. https://www.coursehero.com/file/221424992/UCS-12PMdocx/</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Structured Review - Customer Shopping Trends Dataset |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