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00"/>
        <w:jc w:val="center"/>
      </w:pPr>
      <w:r>
        <w:rPr>
          <w:color w:val="31557a"/>
        </w:rPr>
        <w:t xml:space="preserve">GEMS-RAG: Complete System Architecture and Build Documentation</w:t>
      </w:r>
    </w:p>
    <w:p>
      <w:pPr>
        <w:spacing w:after="60"/>
        <w:jc w:val="center"/>
      </w:pPr>
      <w:r>
        <w:rPr>
          <w:i/>
          <w:iCs/>
          <w:color w:val="1a2332"/>
          <w:sz w:val="22"/>
          <w:szCs w:val="22"/>
        </w:rPr>
        <w:t xml:space="preserve">Structure-aware multimodal RAG over the MUTCD 11th Edition</w:t>
      </w:r>
    </w:p>
    <w:p>
      <w:pPr>
        <w:spacing w:after="300"/>
        <w:jc w:val="center"/>
      </w:pPr>
      <w:r>
        <w:rPr>
          <w:color w:val="1a2332"/>
          <w:sz w:val="20"/>
          <w:szCs w:val="20"/>
        </w:rPr>
        <w:t xml:space="preserve">Repository: github.com/hannanazad/MRAG_stp2</w:t>
      </w:r>
    </w:p>
    <w:p>
      <w:pPr>
        <w:spacing w:after="240"/>
      </w:pPr>
      <w:r>
        <w:rPr>
          <w:b w:val="false"/>
          <w:bCs w:val="false"/>
          <w:i/>
          <w:iCs/>
          <w:color w:val="1a2332"/>
          <w:sz w:val="21"/>
          <w:szCs w:val="21"/>
        </w:rPr>
        <w:t xml:space="preserve">Scope of this document: full system design (what it is and how it works) and full build mechanics (which code built it, how, and where everything lives).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rPr>
          <w:color w:val="31557a"/>
        </w:rPr>
        <w:t xml:space="preserve">Part I — System Design and Architecture</w:t>
      </w:r>
    </w:p>
    <w:p>
      <w:pPr>
        <w:pStyle w:val="Heading2"/>
        <w:spacing w:after="120" w:before="240"/>
      </w:pPr>
      <w:r>
        <w:rPr>
          <w:color w:val="31557a"/>
        </w:rPr>
        <w:t xml:space="preserve">1. Design Thesis</w:t>
      </w:r>
    </w:p>
    <w:p>
      <w:pPr>
        <w:spacing w:after="120"/>
      </w:pPr>
      <w:r>
        <w:rPr>
          <w:b w:val="false"/>
          <w:bCs w:val="false"/>
          <w:i w:val="false"/>
          <w:iCs w:val="false"/>
          <w:color w:val="1a2332"/>
          <w:sz w:val="21"/>
          <w:szCs w:val="21"/>
        </w:rPr>
        <w:t xml:space="preserve">GEMS-RAG is built over the MUTCD 11th Edition, a roughly 1,100-page federal standards manual mixing normative text, tables, figures, and sign diagrams. The core design bet: a regulatory document is not a flat bag of paragraphs. It has three explicit structures, and the system encodes all three at ingest time and exploits them at retrieval time, rather than relying on semantic similarity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shd w:fill="e8eef6" w:val="clear"/>
            <w:tcMar>
              <w:top w:type="dxa" w:w="60"/>
              <w:left w:type="dxa" w:w="100"/>
              <w:bottom w:type="dxa" w:w="60"/>
              <w:right w:type="dxa" w:w="100"/>
            </w:tcMar>
          </w:tcPr>
          <w:p>
            <w:pPr>
              <w:spacing w:after="0"/>
            </w:pPr>
            <w:r>
              <w:rPr>
                <w:b/>
                <w:bCs/>
                <w:color w:val="1a2332"/>
                <w:sz w:val="19"/>
                <w:szCs w:val="19"/>
              </w:rPr>
              <w:t xml:space="preserve">structure</w:t>
            </w:r>
          </w:p>
        </w:tc>
        <w:tc>
          <w:tcPr>
            <w:tcW w:type="dxa" w:w="3744"/>
            <w:shd w:fill="e8eef6" w:val="clear"/>
            <w:tcMar>
              <w:top w:type="dxa" w:w="60"/>
              <w:left w:type="dxa" w:w="100"/>
              <w:bottom w:type="dxa" w:w="60"/>
              <w:right w:type="dxa" w:w="100"/>
            </w:tcMar>
          </w:tcPr>
          <w:p>
            <w:pPr>
              <w:spacing w:after="0"/>
            </w:pPr>
            <w:r>
              <w:rPr>
                <w:b/>
                <w:bCs/>
                <w:color w:val="1a2332"/>
                <w:sz w:val="19"/>
                <w:szCs w:val="19"/>
              </w:rPr>
              <w:t xml:space="preserve">what it is in the MUTCD</w:t>
            </w:r>
          </w:p>
        </w:tc>
        <w:tc>
          <w:tcPr>
            <w:tcW w:type="dxa" w:w="3744"/>
            <w:shd w:fill="e8eef6" w:val="clear"/>
            <w:tcMar>
              <w:top w:type="dxa" w:w="60"/>
              <w:left w:type="dxa" w:w="100"/>
              <w:bottom w:type="dxa" w:w="60"/>
              <w:right w:type="dxa" w:w="100"/>
            </w:tcMar>
          </w:tcPr>
          <w:p>
            <w:pPr>
              <w:spacing w:after="0"/>
            </w:pPr>
            <w:r>
              <w:rPr>
                <w:b/>
                <w:bCs/>
                <w:color w:val="1a2332"/>
                <w:sz w:val="19"/>
                <w:szCs w:val="19"/>
              </w:rPr>
              <w:t xml:space="preserve">how GEMS-RAG uses it</w:t>
            </w:r>
          </w:p>
        </w:tc>
      </w:tr>
      <w:tr>
        <w:tc>
          <w:tcPr>
            <w:tcW w:type="dxa" w:w="1872"/>
            <w:tcMar>
              <w:top w:type="dxa" w:w="60"/>
              <w:left w:type="dxa" w:w="100"/>
              <w:bottom w:type="dxa" w:w="60"/>
              <w:right w:type="dxa" w:w="100"/>
            </w:tcMar>
          </w:tcPr>
          <w:p>
            <w:pPr>
              <w:spacing w:after="0"/>
            </w:pPr>
            <w:r>
              <w:rPr>
                <w:b w:val="false"/>
                <w:bCs w:val="false"/>
                <w:color w:val="1a2332"/>
                <w:sz w:val="19"/>
                <w:szCs w:val="19"/>
              </w:rPr>
              <w:t xml:space="preserve">Hierarchy</w:t>
            </w:r>
          </w:p>
        </w:tc>
        <w:tc>
          <w:tcPr>
            <w:tcW w:type="dxa" w:w="3744"/>
            <w:tcMar>
              <w:top w:type="dxa" w:w="60"/>
              <w:left w:type="dxa" w:w="100"/>
              <w:bottom w:type="dxa" w:w="60"/>
              <w:right w:type="dxa" w:w="100"/>
            </w:tcMar>
          </w:tcPr>
          <w:p>
            <w:pPr>
              <w:spacing w:after="0"/>
            </w:pPr>
            <w:r>
              <w:rPr>
                <w:b w:val="false"/>
                <w:bCs w:val="false"/>
                <w:color w:val="1a2332"/>
                <w:sz w:val="19"/>
                <w:szCs w:val="19"/>
              </w:rPr>
              <w:t xml:space="preserve">Part → Chapter → Section</w:t>
            </w:r>
          </w:p>
        </w:tc>
        <w:tc>
          <w:tcPr>
            <w:tcW w:type="dxa" w:w="3744"/>
            <w:tcMar>
              <w:top w:type="dxa" w:w="60"/>
              <w:left w:type="dxa" w:w="100"/>
              <w:bottom w:type="dxa" w:w="60"/>
              <w:right w:type="dxa" w:w="100"/>
            </w:tcMar>
          </w:tcPr>
          <w:p>
            <w:pPr>
              <w:spacing w:after="0"/>
            </w:pPr>
            <w:r>
              <w:rPr>
                <w:b w:val="false"/>
                <w:bCs w:val="false"/>
                <w:color w:val="1a2332"/>
                <w:sz w:val="19"/>
                <w:szCs w:val="19"/>
              </w:rPr>
              <w:t xml:space="preserve">hierarchy prior (w_hierarchy) rewards retrieval candidates clustered in the same section neighborhood</w:t>
            </w:r>
          </w:p>
        </w:tc>
      </w:tr>
      <w:tr>
        <w:tc>
          <w:tcPr>
            <w:tcW w:type="dxa" w:w="1872"/>
            <w:tcMar>
              <w:top w:type="dxa" w:w="60"/>
              <w:left w:type="dxa" w:w="100"/>
              <w:bottom w:type="dxa" w:w="60"/>
              <w:right w:type="dxa" w:w="100"/>
            </w:tcMar>
          </w:tcPr>
          <w:p>
            <w:pPr>
              <w:spacing w:after="0"/>
            </w:pPr>
            <w:r>
              <w:rPr>
                <w:b w:val="false"/>
                <w:bCs w:val="false"/>
                <w:color w:val="1a2332"/>
                <w:sz w:val="19"/>
                <w:szCs w:val="19"/>
              </w:rPr>
              <w:t xml:space="preserve">Normative typology</w:t>
            </w:r>
          </w:p>
        </w:tc>
        <w:tc>
          <w:tcPr>
            <w:tcW w:type="dxa" w:w="3744"/>
            <w:tcMar>
              <w:top w:type="dxa" w:w="60"/>
              <w:left w:type="dxa" w:w="100"/>
              <w:bottom w:type="dxa" w:w="60"/>
              <w:right w:type="dxa" w:w="100"/>
            </w:tcMar>
          </w:tcPr>
          <w:p>
            <w:pPr>
              <w:spacing w:after="0"/>
            </w:pPr>
            <w:r>
              <w:rPr>
                <w:b w:val="false"/>
                <w:bCs w:val="false"/>
                <w:color w:val="1a2332"/>
                <w:sz w:val="19"/>
                <w:szCs w:val="19"/>
              </w:rPr>
              <w:t xml:space="preserve">every provision is a Standard (shall), Guidance (should), Option (may), or Support (informational) statement</w:t>
            </w:r>
          </w:p>
        </w:tc>
        <w:tc>
          <w:tcPr>
            <w:tcW w:type="dxa" w:w="3744"/>
            <w:tcMar>
              <w:top w:type="dxa" w:w="60"/>
              <w:left w:type="dxa" w:w="100"/>
              <w:bottom w:type="dxa" w:w="60"/>
              <w:right w:type="dxa" w:w="100"/>
            </w:tcMar>
          </w:tcPr>
          <w:p>
            <w:pPr>
              <w:spacing w:after="0"/>
            </w:pPr>
            <w:r>
              <w:rPr>
                <w:b w:val="false"/>
                <w:bCs w:val="false"/>
                <w:color w:val="1a2332"/>
                <w:sz w:val="19"/>
                <w:szCs w:val="19"/>
              </w:rPr>
              <w:t xml:space="preserve">rule-type weight (w_ruletype) favors provisions whose normative type fits the question; modal verbs extracted per chunk</w:t>
            </w:r>
          </w:p>
        </w:tc>
      </w:tr>
      <w:tr>
        <w:tc>
          <w:tcPr>
            <w:tcW w:type="dxa" w:w="1872"/>
            <w:tcMar>
              <w:top w:type="dxa" w:w="60"/>
              <w:left w:type="dxa" w:w="100"/>
              <w:bottom w:type="dxa" w:w="60"/>
              <w:right w:type="dxa" w:w="100"/>
            </w:tcMar>
          </w:tcPr>
          <w:p>
            <w:pPr>
              <w:spacing w:after="0"/>
            </w:pPr>
            <w:r>
              <w:rPr>
                <w:b w:val="false"/>
                <w:bCs w:val="false"/>
                <w:color w:val="1a2332"/>
                <w:sz w:val="19"/>
                <w:szCs w:val="19"/>
              </w:rPr>
              <w:t xml:space="preserve">Cross-reference web</w:t>
            </w:r>
          </w:p>
        </w:tc>
        <w:tc>
          <w:tcPr>
            <w:tcW w:type="dxa" w:w="3744"/>
            <w:tcMar>
              <w:top w:type="dxa" w:w="60"/>
              <w:left w:type="dxa" w:w="100"/>
              <w:bottom w:type="dxa" w:w="60"/>
              <w:right w:type="dxa" w:w="100"/>
            </w:tcMar>
          </w:tcPr>
          <w:p>
            <w:pPr>
              <w:spacing w:after="0"/>
            </w:pPr>
            <w:r>
              <w:rPr>
                <w:b w:val="false"/>
                <w:bCs w:val="false"/>
                <w:color w:val="1a2332"/>
                <w:sz w:val="19"/>
                <w:szCs w:val="19"/>
              </w:rPr>
              <w:t xml:space="preserve">sections citing figures, tables, sign codes, and other sections</w:t>
            </w:r>
          </w:p>
        </w:tc>
        <w:tc>
          <w:tcPr>
            <w:tcW w:type="dxa" w:w="3744"/>
            <w:tcMar>
              <w:top w:type="dxa" w:w="60"/>
              <w:left w:type="dxa" w:w="100"/>
              <w:bottom w:type="dxa" w:w="60"/>
              <w:right w:type="dxa" w:w="100"/>
            </w:tcMar>
          </w:tcPr>
          <w:p>
            <w:pPr>
              <w:spacing w:after="0"/>
            </w:pPr>
            <w:r>
              <w:rPr>
                <w:b w:val="false"/>
                <w:bCs w:val="false"/>
                <w:color w:val="1a2332"/>
                <w:sz w:val="19"/>
                <w:szCs w:val="19"/>
              </w:rPr>
              <w:t xml:space="preserve">knowledge graph edges; graph proximity prior (w_graph) boosts candidates graph-close to query entities</w:t>
            </w:r>
          </w:p>
        </w:tc>
      </w:tr>
    </w:tbl>
    <w:p>
      <w:pPr>
        <w:pStyle w:val="Heading2"/>
        <w:spacing w:after="120" w:before="240"/>
      </w:pPr>
      <w:r>
        <w:rPr>
          <w:color w:val="31557a"/>
        </w:rPr>
        <w:t xml:space="preserve">2. High-Level Architecture</w:t>
      </w:r>
    </w:p>
    <w:p>
      <w:pPr>
        <w:spacing w:after="160" w:before="160"/>
        <w:jc w:val="center"/>
      </w:pPr>
      <w:r>
        <w:drawing>
          <wp:inline distT="0" distB="0" distL="0" distR="0">
            <wp:extent cx="59055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486275"/>
                    </a:xfrm>
                    <a:prstGeom prst="rect">
                      <a:avLst/>
                    </a:prstGeom>
                  </pic:spPr>
                </pic:pic>
              </a:graphicData>
            </a:graphic>
          </wp:inline>
        </w:drawing>
      </w:r>
    </w:p>
    <w:p>
      <w:pPr>
        <w:pStyle w:val="Heading2"/>
        <w:spacing w:after="120" w:before="240"/>
      </w:pPr>
      <w:r>
        <w:rPr>
          <w:color w:val="31557a"/>
        </w:rPr>
        <w:t xml:space="preserve">3. Document Processing and Extraction</w:t>
      </w:r>
    </w:p>
    <w:p>
      <w:pPr>
        <w:spacing w:after="120"/>
      </w:pPr>
      <w:r>
        <w:rPr>
          <w:b w:val="false"/>
          <w:bCs w:val="false"/>
          <w:i w:val="false"/>
          <w:iCs w:val="false"/>
          <w:color w:val="1a2332"/>
          <w:sz w:val="21"/>
          <w:szCs w:val="21"/>
        </w:rPr>
        <w:t xml:space="preserve">The source PDF was parsed into provision-level chunks rather than fixed-size windows. Each chunk corresponds to one normative statement block within a section, and carries the structure with it. A real chunk from the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e8eef6" w:val="clear"/>
            <w:tcMar>
              <w:top w:type="dxa" w:w="60"/>
              <w:left w:type="dxa" w:w="100"/>
              <w:bottom w:type="dxa" w:w="60"/>
              <w:right w:type="dxa" w:w="100"/>
            </w:tcMar>
          </w:tcPr>
          <w:p>
            <w:pPr>
              <w:spacing w:after="0"/>
            </w:pPr>
            <w:r>
              <w:rPr>
                <w:b/>
                <w:bCs/>
                <w:color w:val="1a2332"/>
                <w:sz w:val="19"/>
                <w:szCs w:val="19"/>
              </w:rPr>
              <w:t xml:space="preserve">field</w:t>
            </w:r>
          </w:p>
        </w:tc>
        <w:tc>
          <w:tcPr>
            <w:tcW w:type="dxa" w:w="6552"/>
            <w:shd w:fill="e8eef6" w:val="clear"/>
            <w:tcMar>
              <w:top w:type="dxa" w:w="60"/>
              <w:left w:type="dxa" w:w="100"/>
              <w:bottom w:type="dxa" w:w="60"/>
              <w:right w:type="dxa" w:w="100"/>
            </w:tcMar>
          </w:tcPr>
          <w:p>
            <w:pPr>
              <w:spacing w:after="0"/>
            </w:pPr>
            <w:r>
              <w:rPr>
                <w:b/>
                <w:bCs/>
                <w:color w:val="1a2332"/>
                <w:sz w:val="19"/>
                <w:szCs w:val="19"/>
              </w:rPr>
              <w:t xml:space="preserve">example value</w:t>
            </w:r>
          </w:p>
        </w:tc>
      </w:tr>
      <w:tr>
        <w:tc>
          <w:tcPr>
            <w:tcW w:type="dxa" w:w="2808"/>
            <w:tcMar>
              <w:top w:type="dxa" w:w="60"/>
              <w:left w:type="dxa" w:w="100"/>
              <w:bottom w:type="dxa" w:w="60"/>
              <w:right w:type="dxa" w:w="100"/>
            </w:tcMar>
          </w:tcPr>
          <w:p>
            <w:pPr>
              <w:spacing w:after="0"/>
            </w:pPr>
            <w:r>
              <w:rPr>
                <w:b w:val="false"/>
                <w:bCs w:val="false"/>
                <w:color w:val="1a2332"/>
                <w:sz w:val="19"/>
                <w:szCs w:val="19"/>
              </w:rPr>
              <w:t xml:space="preserve">chunk_id</w:t>
            </w:r>
          </w:p>
        </w:tc>
        <w:tc>
          <w:tcPr>
            <w:tcW w:type="dxa" w:w="6552"/>
            <w:tcMar>
              <w:top w:type="dxa" w:w="60"/>
              <w:left w:type="dxa" w:w="100"/>
              <w:bottom w:type="dxa" w:w="60"/>
              <w:right w:type="dxa" w:w="100"/>
            </w:tcMar>
          </w:tcPr>
          <w:p>
            <w:pPr>
              <w:spacing w:after="0"/>
            </w:pPr>
            <w:r>
              <w:rPr>
                <w:b w:val="false"/>
                <w:bCs w:val="false"/>
                <w:color w:val="1a2332"/>
                <w:sz w:val="19"/>
                <w:szCs w:val="19"/>
              </w:rPr>
              <w:t xml:space="preserve">MUTCD11e_2A15_Standard_05</w:t>
            </w:r>
          </w:p>
        </w:tc>
      </w:tr>
      <w:tr>
        <w:tc>
          <w:tcPr>
            <w:tcW w:type="dxa" w:w="2808"/>
            <w:tcMar>
              <w:top w:type="dxa" w:w="60"/>
              <w:left w:type="dxa" w:w="100"/>
              <w:bottom w:type="dxa" w:w="60"/>
              <w:right w:type="dxa" w:w="100"/>
            </w:tcMar>
          </w:tcPr>
          <w:p>
            <w:pPr>
              <w:spacing w:after="0"/>
            </w:pPr>
            <w:r>
              <w:rPr>
                <w:b w:val="false"/>
                <w:bCs w:val="false"/>
                <w:color w:val="1a2332"/>
                <w:sz w:val="19"/>
                <w:szCs w:val="19"/>
              </w:rPr>
              <w:t xml:space="preserve">part</w:t>
            </w:r>
          </w:p>
        </w:tc>
        <w:tc>
          <w:tcPr>
            <w:tcW w:type="dxa" w:w="6552"/>
            <w:tcMar>
              <w:top w:type="dxa" w:w="60"/>
              <w:left w:type="dxa" w:w="100"/>
              <w:bottom w:type="dxa" w:w="60"/>
              <w:right w:type="dxa" w:w="100"/>
            </w:tcMar>
          </w:tcPr>
          <w:p>
            <w:pPr>
              <w:spacing w:after="0"/>
            </w:pPr>
            <w:r>
              <w:rPr>
                <w:b w:val="false"/>
                <w:bCs w:val="false"/>
                <w:color w:val="1a2332"/>
                <w:sz w:val="19"/>
                <w:szCs w:val="19"/>
              </w:rPr>
              <w:t xml:space="preserve">Part 9 Traffic Control For Bicycle Facilities</w:t>
            </w:r>
          </w:p>
        </w:tc>
      </w:tr>
      <w:tr>
        <w:tc>
          <w:tcPr>
            <w:tcW w:type="dxa" w:w="2808"/>
            <w:tcMar>
              <w:top w:type="dxa" w:w="60"/>
              <w:left w:type="dxa" w:w="100"/>
              <w:bottom w:type="dxa" w:w="60"/>
              <w:right w:type="dxa" w:w="100"/>
            </w:tcMar>
          </w:tcPr>
          <w:p>
            <w:pPr>
              <w:spacing w:after="0"/>
            </w:pPr>
            <w:r>
              <w:rPr>
                <w:b w:val="false"/>
                <w:bCs w:val="false"/>
                <w:color w:val="1a2332"/>
                <w:sz w:val="19"/>
                <w:szCs w:val="19"/>
              </w:rPr>
              <w:t xml:space="preserve">chapter</w:t>
            </w:r>
          </w:p>
        </w:tc>
        <w:tc>
          <w:tcPr>
            <w:tcW w:type="dxa" w:w="6552"/>
            <w:tcMar>
              <w:top w:type="dxa" w:w="60"/>
              <w:left w:type="dxa" w:w="100"/>
              <w:bottom w:type="dxa" w:w="60"/>
              <w:right w:type="dxa" w:w="100"/>
            </w:tcMar>
          </w:tcPr>
          <w:p>
            <w:pPr>
              <w:spacing w:after="0"/>
            </w:pPr>
            <w:r>
              <w:rPr>
                <w:b w:val="false"/>
                <w:bCs w:val="false"/>
                <w:color w:val="1a2332"/>
                <w:sz w:val="19"/>
                <w:szCs w:val="19"/>
              </w:rPr>
              <w:t xml:space="preserve">Chapter 2A. General</w:t>
            </w:r>
          </w:p>
        </w:tc>
      </w:tr>
      <w:tr>
        <w:tc>
          <w:tcPr>
            <w:tcW w:type="dxa" w:w="2808"/>
            <w:tcMar>
              <w:top w:type="dxa" w:w="60"/>
              <w:left w:type="dxa" w:w="100"/>
              <w:bottom w:type="dxa" w:w="60"/>
              <w:right w:type="dxa" w:w="100"/>
            </w:tcMar>
          </w:tcPr>
          <w:p>
            <w:pPr>
              <w:spacing w:after="0"/>
            </w:pPr>
            <w:r>
              <w:rPr>
                <w:b w:val="false"/>
                <w:bCs w:val="false"/>
                <w:color w:val="1a2332"/>
                <w:sz w:val="19"/>
                <w:szCs w:val="19"/>
              </w:rPr>
              <w:t xml:space="preserve">section_id</w:t>
            </w:r>
          </w:p>
        </w:tc>
        <w:tc>
          <w:tcPr>
            <w:tcW w:type="dxa" w:w="6552"/>
            <w:tcMar>
              <w:top w:type="dxa" w:w="60"/>
              <w:left w:type="dxa" w:w="100"/>
              <w:bottom w:type="dxa" w:w="60"/>
              <w:right w:type="dxa" w:w="100"/>
            </w:tcMar>
          </w:tcPr>
          <w:p>
            <w:pPr>
              <w:spacing w:after="0"/>
            </w:pPr>
            <w:r>
              <w:rPr>
                <w:b w:val="false"/>
                <w:bCs w:val="false"/>
                <w:color w:val="1a2332"/>
                <w:sz w:val="19"/>
                <w:szCs w:val="19"/>
              </w:rPr>
              <w:t xml:space="preserve">2A.15</w:t>
            </w:r>
          </w:p>
        </w:tc>
      </w:tr>
      <w:tr>
        <w:tc>
          <w:tcPr>
            <w:tcW w:type="dxa" w:w="2808"/>
            <w:tcMar>
              <w:top w:type="dxa" w:w="60"/>
              <w:left w:type="dxa" w:w="100"/>
              <w:bottom w:type="dxa" w:w="60"/>
              <w:right w:type="dxa" w:w="100"/>
            </w:tcMar>
          </w:tcPr>
          <w:p>
            <w:pPr>
              <w:spacing w:after="0"/>
            </w:pPr>
            <w:r>
              <w:rPr>
                <w:b w:val="false"/>
                <w:bCs w:val="false"/>
                <w:color w:val="1a2332"/>
                <w:sz w:val="19"/>
                <w:szCs w:val="19"/>
              </w:rPr>
              <w:t xml:space="preserve">section_title</w:t>
            </w:r>
          </w:p>
        </w:tc>
        <w:tc>
          <w:tcPr>
            <w:tcW w:type="dxa" w:w="6552"/>
            <w:tcMar>
              <w:top w:type="dxa" w:w="60"/>
              <w:left w:type="dxa" w:w="100"/>
              <w:bottom w:type="dxa" w:w="60"/>
              <w:right w:type="dxa" w:w="100"/>
            </w:tcMar>
          </w:tcPr>
          <w:p>
            <w:pPr>
              <w:spacing w:after="0"/>
            </w:pPr>
            <w:r>
              <w:rPr>
                <w:b w:val="false"/>
                <w:bCs w:val="false"/>
                <w:color w:val="1a2332"/>
                <w:sz w:val="19"/>
                <w:szCs w:val="19"/>
              </w:rPr>
              <w:t xml:space="preserve">Mounting Height</w:t>
            </w:r>
          </w:p>
        </w:tc>
      </w:tr>
      <w:tr>
        <w:tc>
          <w:tcPr>
            <w:tcW w:type="dxa" w:w="2808"/>
            <w:tcMar>
              <w:top w:type="dxa" w:w="60"/>
              <w:left w:type="dxa" w:w="100"/>
              <w:bottom w:type="dxa" w:w="60"/>
              <w:right w:type="dxa" w:w="100"/>
            </w:tcMar>
          </w:tcPr>
          <w:p>
            <w:pPr>
              <w:spacing w:after="0"/>
            </w:pPr>
            <w:r>
              <w:rPr>
                <w:b w:val="false"/>
                <w:bCs w:val="false"/>
                <w:color w:val="1a2332"/>
                <w:sz w:val="19"/>
                <w:szCs w:val="19"/>
              </w:rPr>
              <w:t xml:space="preserve">content_type</w:t>
            </w:r>
          </w:p>
        </w:tc>
        <w:tc>
          <w:tcPr>
            <w:tcW w:type="dxa" w:w="6552"/>
            <w:tcMar>
              <w:top w:type="dxa" w:w="60"/>
              <w:left w:type="dxa" w:w="100"/>
              <w:bottom w:type="dxa" w:w="60"/>
              <w:right w:type="dxa" w:w="100"/>
            </w:tcMar>
          </w:tcPr>
          <w:p>
            <w:pPr>
              <w:spacing w:after="0"/>
            </w:pPr>
            <w:r>
              <w:rPr>
                <w:b w:val="false"/>
                <w:bCs w:val="false"/>
                <w:color w:val="1a2332"/>
                <w:sz w:val="19"/>
                <w:szCs w:val="19"/>
              </w:rPr>
              <w:t xml:space="preserve">Standard</w:t>
            </w:r>
          </w:p>
        </w:tc>
      </w:tr>
      <w:tr>
        <w:tc>
          <w:tcPr>
            <w:tcW w:type="dxa" w:w="2808"/>
            <w:tcMar>
              <w:top w:type="dxa" w:w="60"/>
              <w:left w:type="dxa" w:w="100"/>
              <w:bottom w:type="dxa" w:w="60"/>
              <w:right w:type="dxa" w:w="100"/>
            </w:tcMar>
          </w:tcPr>
          <w:p>
            <w:pPr>
              <w:spacing w:after="0"/>
            </w:pPr>
            <w:r>
              <w:rPr>
                <w:b w:val="false"/>
                <w:bCs w:val="false"/>
                <w:color w:val="1a2332"/>
                <w:sz w:val="19"/>
                <w:szCs w:val="19"/>
              </w:rPr>
              <w:t xml:space="preserve">ordinal</w:t>
            </w:r>
          </w:p>
        </w:tc>
        <w:tc>
          <w:tcPr>
            <w:tcW w:type="dxa" w:w="6552"/>
            <w:tcMar>
              <w:top w:type="dxa" w:w="60"/>
              <w:left w:type="dxa" w:w="100"/>
              <w:bottom w:type="dxa" w:w="60"/>
              <w:right w:type="dxa" w:w="100"/>
            </w:tcMar>
          </w:tcPr>
          <w:p>
            <w:pPr>
              <w:spacing w:after="0"/>
            </w:pPr>
            <w:r>
              <w:rPr>
                <w:b w:val="false"/>
                <w:bCs w:val="false"/>
                <w:color w:val="1a2332"/>
                <w:sz w:val="19"/>
                <w:szCs w:val="19"/>
              </w:rPr>
              <w:t xml:space="preserve">5</w:t>
            </w:r>
          </w:p>
        </w:tc>
      </w:tr>
      <w:tr>
        <w:tc>
          <w:tcPr>
            <w:tcW w:type="dxa" w:w="2808"/>
            <w:tcMar>
              <w:top w:type="dxa" w:w="60"/>
              <w:left w:type="dxa" w:w="100"/>
              <w:bottom w:type="dxa" w:w="60"/>
              <w:right w:type="dxa" w:w="100"/>
            </w:tcMar>
          </w:tcPr>
          <w:p>
            <w:pPr>
              <w:spacing w:after="0"/>
            </w:pPr>
            <w:r>
              <w:rPr>
                <w:b w:val="false"/>
                <w:bCs w:val="false"/>
                <w:color w:val="1a2332"/>
                <w:sz w:val="19"/>
                <w:szCs w:val="19"/>
              </w:rPr>
              <w:t xml:space="preserve">page_pdf / page_printed</w:t>
            </w:r>
          </w:p>
        </w:tc>
        <w:tc>
          <w:tcPr>
            <w:tcW w:type="dxa" w:w="6552"/>
            <w:tcMar>
              <w:top w:type="dxa" w:w="60"/>
              <w:left w:type="dxa" w:w="100"/>
              <w:bottom w:type="dxa" w:w="60"/>
              <w:right w:type="dxa" w:w="100"/>
            </w:tcMar>
          </w:tcPr>
          <w:p>
            <w:pPr>
              <w:spacing w:after="0"/>
            </w:pPr>
            <w:r>
              <w:rPr>
                <w:b w:val="false"/>
                <w:bCs w:val="false"/>
                <w:color w:val="1a2332"/>
                <w:sz w:val="19"/>
                <w:szCs w:val="19"/>
              </w:rPr>
              <w:t xml:space="preserve">anchors to both PDF page and printed page number</w:t>
            </w:r>
          </w:p>
        </w:tc>
      </w:tr>
      <w:tr>
        <w:tc>
          <w:tcPr>
            <w:tcW w:type="dxa" w:w="2808"/>
            <w:tcMar>
              <w:top w:type="dxa" w:w="60"/>
              <w:left w:type="dxa" w:w="100"/>
              <w:bottom w:type="dxa" w:w="60"/>
              <w:right w:type="dxa" w:w="100"/>
            </w:tcMar>
          </w:tcPr>
          <w:p>
            <w:pPr>
              <w:spacing w:after="0"/>
            </w:pPr>
            <w:r>
              <w:rPr>
                <w:b w:val="false"/>
                <w:bCs w:val="false"/>
                <w:color w:val="1a2332"/>
                <w:sz w:val="19"/>
                <w:szCs w:val="19"/>
              </w:rPr>
              <w:t xml:space="preserve">figure_refs / table_refs / section_refs</w:t>
            </w:r>
          </w:p>
        </w:tc>
        <w:tc>
          <w:tcPr>
            <w:tcW w:type="dxa" w:w="6552"/>
            <w:tcMar>
              <w:top w:type="dxa" w:w="60"/>
              <w:left w:type="dxa" w:w="100"/>
              <w:bottom w:type="dxa" w:w="60"/>
              <w:right w:type="dxa" w:w="100"/>
            </w:tcMar>
          </w:tcPr>
          <w:p>
            <w:pPr>
              <w:spacing w:after="0"/>
            </w:pPr>
            <w:r>
              <w:rPr>
                <w:b w:val="false"/>
                <w:bCs w:val="false"/>
                <w:color w:val="1a2332"/>
                <w:sz w:val="19"/>
                <w:szCs w:val="19"/>
              </w:rPr>
              <w:t xml:space="preserve">extracted cross-reference lists</w:t>
            </w:r>
          </w:p>
        </w:tc>
      </w:tr>
      <w:tr>
        <w:tc>
          <w:tcPr>
            <w:tcW w:type="dxa" w:w="2808"/>
            <w:tcMar>
              <w:top w:type="dxa" w:w="60"/>
              <w:left w:type="dxa" w:w="100"/>
              <w:bottom w:type="dxa" w:w="60"/>
              <w:right w:type="dxa" w:w="100"/>
            </w:tcMar>
          </w:tcPr>
          <w:p>
            <w:pPr>
              <w:spacing w:after="0"/>
            </w:pPr>
            <w:r>
              <w:rPr>
                <w:b w:val="false"/>
                <w:bCs w:val="false"/>
                <w:color w:val="1a2332"/>
                <w:sz w:val="19"/>
                <w:szCs w:val="19"/>
              </w:rPr>
              <w:t xml:space="preserve">sign_codes</w:t>
            </w:r>
          </w:p>
        </w:tc>
        <w:tc>
          <w:tcPr>
            <w:tcW w:type="dxa" w:w="6552"/>
            <w:tcMar>
              <w:top w:type="dxa" w:w="60"/>
              <w:left w:type="dxa" w:w="100"/>
              <w:bottom w:type="dxa" w:w="60"/>
              <w:right w:type="dxa" w:w="100"/>
            </w:tcMar>
          </w:tcPr>
          <w:p>
            <w:pPr>
              <w:spacing w:after="0"/>
            </w:pPr>
            <w:r>
              <w:rPr>
                <w:b w:val="false"/>
                <w:bCs w:val="false"/>
                <w:color w:val="1a2332"/>
                <w:sz w:val="19"/>
                <w:szCs w:val="19"/>
              </w:rPr>
              <w:t xml:space="preserve">e.g. R1-1 style codes mentioned in the provision</w:t>
            </w:r>
          </w:p>
        </w:tc>
      </w:tr>
      <w:tr>
        <w:tc>
          <w:tcPr>
            <w:tcW w:type="dxa" w:w="2808"/>
            <w:tcMar>
              <w:top w:type="dxa" w:w="60"/>
              <w:left w:type="dxa" w:w="100"/>
              <w:bottom w:type="dxa" w:w="60"/>
              <w:right w:type="dxa" w:w="100"/>
            </w:tcMar>
          </w:tcPr>
          <w:p>
            <w:pPr>
              <w:spacing w:after="0"/>
            </w:pPr>
            <w:r>
              <w:rPr>
                <w:b w:val="false"/>
                <w:bCs w:val="false"/>
                <w:color w:val="1a2332"/>
                <w:sz w:val="19"/>
                <w:szCs w:val="19"/>
              </w:rPr>
              <w:t xml:space="preserve">modal_verbs</w:t>
            </w:r>
          </w:p>
        </w:tc>
        <w:tc>
          <w:tcPr>
            <w:tcW w:type="dxa" w:w="6552"/>
            <w:tcMar>
              <w:top w:type="dxa" w:w="60"/>
              <w:left w:type="dxa" w:w="100"/>
              <w:bottom w:type="dxa" w:w="60"/>
              <w:right w:type="dxa" w:w="100"/>
            </w:tcMar>
          </w:tcPr>
          <w:p>
            <w:pPr>
              <w:spacing w:after="0"/>
            </w:pPr>
            <w:r>
              <w:rPr>
                <w:b w:val="false"/>
                <w:bCs w:val="false"/>
                <w:color w:val="1a2332"/>
                <w:sz w:val="19"/>
                <w:szCs w:val="19"/>
              </w:rPr>
              <w:t xml:space="preserve">shall / should / may occurrences</w:t>
            </w:r>
          </w:p>
        </w:tc>
      </w:tr>
      <w:tr>
        <w:tc>
          <w:tcPr>
            <w:tcW w:type="dxa" w:w="2808"/>
            <w:tcMar>
              <w:top w:type="dxa" w:w="60"/>
              <w:left w:type="dxa" w:w="100"/>
              <w:bottom w:type="dxa" w:w="60"/>
              <w:right w:type="dxa" w:w="100"/>
            </w:tcMar>
          </w:tcPr>
          <w:p>
            <w:pPr>
              <w:spacing w:after="0"/>
            </w:pPr>
            <w:r>
              <w:rPr>
                <w:b w:val="false"/>
                <w:bCs w:val="false"/>
                <w:color w:val="1a2332"/>
                <w:sz w:val="19"/>
                <w:szCs w:val="19"/>
              </w:rPr>
              <w:t xml:space="preserve">text</w:t>
            </w:r>
          </w:p>
        </w:tc>
        <w:tc>
          <w:tcPr>
            <w:tcW w:type="dxa" w:w="6552"/>
            <w:tcMar>
              <w:top w:type="dxa" w:w="60"/>
              <w:left w:type="dxa" w:w="100"/>
              <w:bottom w:type="dxa" w:w="60"/>
              <w:right w:type="dxa" w:w="100"/>
            </w:tcMar>
          </w:tcPr>
          <w:p>
            <w:pPr>
              <w:spacing w:after="0"/>
            </w:pPr>
            <w:r>
              <w:rPr>
                <w:b w:val="false"/>
                <w:bCs w:val="false"/>
                <w:color w:val="1a2332"/>
                <w:sz w:val="19"/>
                <w:szCs w:val="19"/>
              </w:rPr>
              <w:t xml:space="preserve">the provision text</w:t>
            </w:r>
          </w:p>
        </w:tc>
      </w:tr>
    </w:tbl>
    <w:p>
      <w:pPr>
        <w:spacing w:after="120"/>
      </w:pPr>
      <w:r>
        <w:rPr>
          <w:b w:val="false"/>
          <w:bCs w:val="false"/>
          <w:i w:val="false"/>
          <w:iCs w:val="false"/>
          <w:color w:val="1a2332"/>
          <w:sz w:val="21"/>
          <w:szCs w:val="21"/>
        </w:rPr>
        <w:t xml:space="preserve">The modal verbs matter because in the MUTCD the words shall, should, and may are load-bearing: they define the legal force of a provision and map directly onto the Standard/Guidance/Option typology. This extraction was rebuilt once (the v1-to-v2 extraction rebuild, detailed in Part II) and produced 5,705 chunks.</w:t>
      </w:r>
    </w:p>
    <w:p>
      <w:pPr>
        <w:spacing w:after="120"/>
      </w:pPr>
      <w:r>
        <w:rPr>
          <w:b w:val="false"/>
          <w:bCs w:val="false"/>
          <w:i w:val="false"/>
          <w:iCs w:val="false"/>
          <w:color w:val="1a2332"/>
          <w:sz w:val="21"/>
          <w:szCs w:val="21"/>
        </w:rPr>
        <w:t xml:space="preserve">In parallel, the visual layer was extracted twice over:</w:t>
      </w:r>
    </w:p>
    <w:p>
      <w:pPr>
        <w:pStyle w:val="ListParagraph"/>
        <w:numPr>
          <w:ilvl w:val="0"/>
          <w:numId w:val="2"/>
        </w:numPr>
        <w:spacing w:after="80"/>
      </w:pPr>
      <w:r>
        <w:rPr>
          <w:b/>
          <w:bCs/>
          <w:color w:val="1a2332"/>
          <w:sz w:val="21"/>
          <w:szCs w:val="21"/>
        </w:rPr>
        <w:t xml:space="preserve">Every page rendered to an image </w:t>
      </w:r>
      <w:r>
        <w:rPr>
          <w:color w:val="1a2332"/>
          <w:sz w:val="21"/>
          <w:szCs w:val="21"/>
        </w:rPr>
        <w:t xml:space="preserve">(the page-image path used by ColQwen2 late-interaction retrieval).</w:t>
      </w:r>
    </w:p>
    <w:p>
      <w:pPr>
        <w:pStyle w:val="ListParagraph"/>
        <w:numPr>
          <w:ilvl w:val="0"/>
          <w:numId w:val="2"/>
        </w:numPr>
        <w:spacing w:after="80"/>
      </w:pPr>
      <w:r>
        <w:rPr>
          <w:b/>
          <w:bCs/>
          <w:color w:val="1a2332"/>
          <w:sz w:val="21"/>
          <w:szCs w:val="21"/>
        </w:rPr>
        <w:t xml:space="preserve">Figures and tables detected and cropped individually </w:t>
      </w:r>
      <w:r>
        <w:rPr>
          <w:color w:val="1a2332"/>
          <w:sz w:val="21"/>
          <w:szCs w:val="21"/>
        </w:rPr>
        <w:t xml:space="preserve">with their captions and page anchors — around 485 figures covered, 727 crop images total.</w:t>
      </w:r>
    </w:p>
    <w:p>
      <w:pPr>
        <w:spacing w:after="120"/>
      </w:pPr>
      <w:r>
        <w:rPr>
          <w:b w:val="false"/>
          <w:bCs w:val="false"/>
          <w:i w:val="false"/>
          <w:iCs w:val="false"/>
          <w:color w:val="1a2332"/>
          <w:sz w:val="21"/>
          <w:szCs w:val="21"/>
        </w:rPr>
        <w:t xml:space="preserve">So a single visual asset exists both as a crop with metadata and as part of its full-page context.</w:t>
      </w:r>
    </w:p>
    <w:p>
      <w:pPr>
        <w:pStyle w:val="Heading2"/>
        <w:spacing w:after="120" w:before="240"/>
      </w:pPr>
      <w:r>
        <w:rPr>
          <w:color w:val="31557a"/>
        </w:rPr>
        <w:t xml:space="preserve">4. Indexing — Four Doors to the Evidence</w:t>
      </w:r>
    </w:p>
    <w:p>
      <w:pPr>
        <w:spacing w:after="120"/>
      </w:pPr>
      <w:r>
        <w:rPr>
          <w:b w:val="false"/>
          <w:bCs w:val="false"/>
          <w:i w:val="false"/>
          <w:iCs w:val="false"/>
          <w:color w:val="1a2332"/>
          <w:sz w:val="21"/>
          <w:szCs w:val="21"/>
        </w:rPr>
        <w:t xml:space="preserve">Everything lives in a local Qdrant store with four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2714"/>
        <w:gridCol w:w="1591"/>
        <w:gridCol w:w="3276"/>
      </w:tblGrid>
      <w:tr>
        <w:trPr>
          <w:tblHeader/>
        </w:trPr>
        <w:tc>
          <w:tcPr>
            <w:tcW w:type="dxa" w:w="1778"/>
            <w:shd w:fill="e8eef6" w:val="clear"/>
            <w:tcMar>
              <w:top w:type="dxa" w:w="60"/>
              <w:left w:type="dxa" w:w="100"/>
              <w:bottom w:type="dxa" w:w="60"/>
              <w:right w:type="dxa" w:w="100"/>
            </w:tcMar>
          </w:tcPr>
          <w:p>
            <w:pPr>
              <w:spacing w:after="0"/>
            </w:pPr>
            <w:r>
              <w:rPr>
                <w:b/>
                <w:bCs/>
                <w:color w:val="1a2332"/>
                <w:sz w:val="19"/>
                <w:szCs w:val="19"/>
              </w:rPr>
              <w:t xml:space="preserve">collection</w:t>
            </w:r>
          </w:p>
        </w:tc>
        <w:tc>
          <w:tcPr>
            <w:tcW w:type="dxa" w:w="2714"/>
            <w:shd w:fill="e8eef6" w:val="clear"/>
            <w:tcMar>
              <w:top w:type="dxa" w:w="60"/>
              <w:left w:type="dxa" w:w="100"/>
              <w:bottom w:type="dxa" w:w="60"/>
              <w:right w:type="dxa" w:w="100"/>
            </w:tcMar>
          </w:tcPr>
          <w:p>
            <w:pPr>
              <w:spacing w:after="0"/>
            </w:pPr>
            <w:r>
              <w:rPr>
                <w:b/>
                <w:bCs/>
                <w:color w:val="1a2332"/>
                <w:sz w:val="19"/>
                <w:szCs w:val="19"/>
              </w:rPr>
              <w:t xml:space="preserve">vector type</w:t>
            </w:r>
          </w:p>
        </w:tc>
        <w:tc>
          <w:tcPr>
            <w:tcW w:type="dxa" w:w="1591"/>
            <w:shd w:fill="e8eef6" w:val="clear"/>
            <w:tcMar>
              <w:top w:type="dxa" w:w="60"/>
              <w:left w:type="dxa" w:w="100"/>
              <w:bottom w:type="dxa" w:w="60"/>
              <w:right w:type="dxa" w:w="100"/>
            </w:tcMar>
          </w:tcPr>
          <w:p>
            <w:pPr>
              <w:spacing w:after="0"/>
            </w:pPr>
            <w:r>
              <w:rPr>
                <w:b/>
                <w:bCs/>
                <w:color w:val="1a2332"/>
                <w:sz w:val="19"/>
                <w:szCs w:val="19"/>
              </w:rPr>
              <w:t xml:space="preserve">source model</w:t>
            </w:r>
          </w:p>
        </w:tc>
        <w:tc>
          <w:tcPr>
            <w:tcW w:type="dxa" w:w="3276"/>
            <w:shd w:fill="e8eef6" w:val="clear"/>
            <w:tcMar>
              <w:top w:type="dxa" w:w="60"/>
              <w:left w:type="dxa" w:w="100"/>
              <w:bottom w:type="dxa" w:w="60"/>
              <w:right w:type="dxa" w:w="100"/>
            </w:tcMar>
          </w:tcPr>
          <w:p>
            <w:pPr>
              <w:spacing w:after="0"/>
            </w:pPr>
            <w:r>
              <w:rPr>
                <w:b/>
                <w:bCs/>
                <w:color w:val="1a2332"/>
                <w:sz w:val="19"/>
                <w:szCs w:val="19"/>
              </w:rPr>
              <w:t xml:space="preserve">contents</w:t>
            </w:r>
          </w:p>
        </w:tc>
      </w:tr>
      <w:tr>
        <w:tc>
          <w:tcPr>
            <w:tcW w:type="dxa" w:w="1778"/>
            <w:tcMar>
              <w:top w:type="dxa" w:w="60"/>
              <w:left w:type="dxa" w:w="100"/>
              <w:bottom w:type="dxa" w:w="60"/>
              <w:right w:type="dxa" w:w="100"/>
            </w:tcMar>
          </w:tcPr>
          <w:p>
            <w:pPr>
              <w:spacing w:after="0"/>
            </w:pPr>
            <w:r>
              <w:rPr>
                <w:b w:val="false"/>
                <w:bCs w:val="false"/>
                <w:color w:val="1a2332"/>
                <w:sz w:val="19"/>
                <w:szCs w:val="19"/>
              </w:rPr>
              <w:t xml:space="preserve">mutcd_chunks</w:t>
            </w:r>
          </w:p>
        </w:tc>
        <w:tc>
          <w:tcPr>
            <w:tcW w:type="dxa" w:w="2714"/>
            <w:tcMar>
              <w:top w:type="dxa" w:w="60"/>
              <w:left w:type="dxa" w:w="100"/>
              <w:bottom w:type="dxa" w:w="60"/>
              <w:right w:type="dxa" w:w="100"/>
            </w:tcMar>
          </w:tcPr>
          <w:p>
            <w:pPr>
              <w:spacing w:after="0"/>
            </w:pPr>
            <w:r>
              <w:rPr>
                <w:b w:val="false"/>
                <w:bCs w:val="false"/>
                <w:color w:val="1a2332"/>
                <w:sz w:val="19"/>
                <w:szCs w:val="19"/>
              </w:rPr>
              <w:t xml:space="preserve">dense 1024-d cosine + sparse lexical weights (two vectors per point)</w:t>
            </w:r>
          </w:p>
        </w:tc>
        <w:tc>
          <w:tcPr>
            <w:tcW w:type="dxa" w:w="1591"/>
            <w:tcMar>
              <w:top w:type="dxa" w:w="60"/>
              <w:left w:type="dxa" w:w="100"/>
              <w:bottom w:type="dxa" w:w="60"/>
              <w:right w:type="dxa" w:w="100"/>
            </w:tcMar>
          </w:tcPr>
          <w:p>
            <w:pPr>
              <w:spacing w:after="0"/>
            </w:pPr>
            <w:r>
              <w:rPr>
                <w:b w:val="false"/>
                <w:bCs w:val="false"/>
                <w:color w:val="1a2332"/>
                <w:sz w:val="19"/>
                <w:szCs w:val="19"/>
              </w:rPr>
              <w:t xml:space="preserve">BGE-M3</w:t>
            </w:r>
          </w:p>
        </w:tc>
        <w:tc>
          <w:tcPr>
            <w:tcW w:type="dxa" w:w="3276"/>
            <w:tcMar>
              <w:top w:type="dxa" w:w="60"/>
              <w:left w:type="dxa" w:w="100"/>
              <w:bottom w:type="dxa" w:w="60"/>
              <w:right w:type="dxa" w:w="100"/>
            </w:tcMar>
          </w:tcPr>
          <w:p>
            <w:pPr>
              <w:spacing w:after="0"/>
            </w:pPr>
            <w:r>
              <w:rPr>
                <w:b w:val="false"/>
                <w:bCs w:val="false"/>
                <w:color w:val="1a2332"/>
                <w:sz w:val="19"/>
                <w:szCs w:val="19"/>
              </w:rPr>
              <w:t xml:space="preserve">5,705 text chunks — enables hybrid dense+sparse search on one collection</w:t>
            </w:r>
          </w:p>
        </w:tc>
      </w:tr>
      <w:tr>
        <w:tc>
          <w:tcPr>
            <w:tcW w:type="dxa" w:w="1778"/>
            <w:tcMar>
              <w:top w:type="dxa" w:w="60"/>
              <w:left w:type="dxa" w:w="100"/>
              <w:bottom w:type="dxa" w:w="60"/>
              <w:right w:type="dxa" w:w="100"/>
            </w:tcMar>
          </w:tcPr>
          <w:p>
            <w:pPr>
              <w:spacing w:after="0"/>
            </w:pPr>
            <w:r>
              <w:rPr>
                <w:b w:val="false"/>
                <w:bCs w:val="false"/>
                <w:color w:val="1a2332"/>
                <w:sz w:val="19"/>
                <w:szCs w:val="19"/>
              </w:rPr>
              <w:t xml:space="preserve">mutcd_figures</w:t>
            </w:r>
          </w:p>
        </w:tc>
        <w:tc>
          <w:tcPr>
            <w:tcW w:type="dxa" w:w="2714"/>
            <w:tcMar>
              <w:top w:type="dxa" w:w="60"/>
              <w:left w:type="dxa" w:w="100"/>
              <w:bottom w:type="dxa" w:w="60"/>
              <w:right w:type="dxa" w:w="100"/>
            </w:tcMar>
          </w:tcPr>
          <w:p>
            <w:pPr>
              <w:spacing w:after="0"/>
            </w:pPr>
            <w:r>
              <w:rPr>
                <w:b w:val="false"/>
                <w:bCs w:val="false"/>
                <w:color w:val="1a2332"/>
                <w:sz w:val="19"/>
                <w:szCs w:val="19"/>
              </w:rPr>
              <w:t xml:space="preserve">dense 1024-d cosine</w:t>
            </w:r>
          </w:p>
        </w:tc>
        <w:tc>
          <w:tcPr>
            <w:tcW w:type="dxa" w:w="1591"/>
            <w:tcMar>
              <w:top w:type="dxa" w:w="60"/>
              <w:left w:type="dxa" w:w="100"/>
              <w:bottom w:type="dxa" w:w="60"/>
              <w:right w:type="dxa" w:w="100"/>
            </w:tcMar>
          </w:tcPr>
          <w:p>
            <w:pPr>
              <w:spacing w:after="0"/>
            </w:pPr>
            <w:r>
              <w:rPr>
                <w:b w:val="false"/>
                <w:bCs w:val="false"/>
                <w:color w:val="1a2332"/>
                <w:sz w:val="19"/>
                <w:szCs w:val="19"/>
              </w:rPr>
              <w:t xml:space="preserve">BGE-M3</w:t>
            </w:r>
          </w:p>
        </w:tc>
        <w:tc>
          <w:tcPr>
            <w:tcW w:type="dxa" w:w="3276"/>
            <w:tcMar>
              <w:top w:type="dxa" w:w="60"/>
              <w:left w:type="dxa" w:w="100"/>
              <w:bottom w:type="dxa" w:w="60"/>
              <w:right w:type="dxa" w:w="100"/>
            </w:tcMar>
          </w:tcPr>
          <w:p>
            <w:pPr>
              <w:spacing w:after="0"/>
            </w:pPr>
            <w:r>
              <w:rPr>
                <w:b w:val="false"/>
                <w:bCs w:val="false"/>
                <w:color w:val="1a2332"/>
                <w:sz w:val="19"/>
                <w:szCs w:val="19"/>
              </w:rPr>
              <w:t xml:space="preserve">figure/table entries embedded from captions and metadata</w:t>
            </w:r>
          </w:p>
        </w:tc>
      </w:tr>
      <w:tr>
        <w:tc>
          <w:tcPr>
            <w:tcW w:type="dxa" w:w="1778"/>
            <w:tcMar>
              <w:top w:type="dxa" w:w="60"/>
              <w:left w:type="dxa" w:w="100"/>
              <w:bottom w:type="dxa" w:w="60"/>
              <w:right w:type="dxa" w:w="100"/>
            </w:tcMar>
          </w:tcPr>
          <w:p>
            <w:pPr>
              <w:spacing w:after="0"/>
            </w:pPr>
            <w:r>
              <w:rPr>
                <w:b w:val="false"/>
                <w:bCs w:val="false"/>
                <w:color w:val="1a2332"/>
                <w:sz w:val="19"/>
                <w:szCs w:val="19"/>
              </w:rPr>
              <w:t xml:space="preserve">mutcd_pages</w:t>
            </w:r>
          </w:p>
        </w:tc>
        <w:tc>
          <w:tcPr>
            <w:tcW w:type="dxa" w:w="2714"/>
            <w:tcMar>
              <w:top w:type="dxa" w:w="60"/>
              <w:left w:type="dxa" w:w="100"/>
              <w:bottom w:type="dxa" w:w="60"/>
              <w:right w:type="dxa" w:w="100"/>
            </w:tcMar>
          </w:tcPr>
          <w:p>
            <w:pPr>
              <w:spacing w:after="0"/>
            </w:pPr>
            <w:r>
              <w:rPr>
                <w:b w:val="false"/>
                <w:bCs w:val="false"/>
                <w:color w:val="1a2332"/>
                <w:sz w:val="19"/>
                <w:szCs w:val="19"/>
              </w:rPr>
              <w:t xml:space="preserve">128-d multivector, max-sim comparator, binary quantization (always_ram)</w:t>
            </w:r>
          </w:p>
        </w:tc>
        <w:tc>
          <w:tcPr>
            <w:tcW w:type="dxa" w:w="1591"/>
            <w:tcMar>
              <w:top w:type="dxa" w:w="60"/>
              <w:left w:type="dxa" w:w="100"/>
              <w:bottom w:type="dxa" w:w="60"/>
              <w:right w:type="dxa" w:w="100"/>
            </w:tcMar>
          </w:tcPr>
          <w:p>
            <w:pPr>
              <w:spacing w:after="0"/>
            </w:pPr>
            <w:r>
              <w:rPr>
                <w:b w:val="false"/>
                <w:bCs w:val="false"/>
                <w:color w:val="1a2332"/>
                <w:sz w:val="19"/>
                <w:szCs w:val="19"/>
              </w:rPr>
              <w:t xml:space="preserve">ColQwen2 (ColPali-style late interaction)</w:t>
            </w:r>
          </w:p>
        </w:tc>
        <w:tc>
          <w:tcPr>
            <w:tcW w:type="dxa" w:w="3276"/>
            <w:tcMar>
              <w:top w:type="dxa" w:w="60"/>
              <w:left w:type="dxa" w:w="100"/>
              <w:bottom w:type="dxa" w:w="60"/>
              <w:right w:type="dxa" w:w="100"/>
            </w:tcMar>
          </w:tcPr>
          <w:p>
            <w:pPr>
              <w:spacing w:after="0"/>
            </w:pPr>
            <w:r>
              <w:rPr>
                <w:b w:val="false"/>
                <w:bCs w:val="false"/>
                <w:color w:val="1a2332"/>
                <w:sz w:val="19"/>
                <w:szCs w:val="19"/>
              </w:rPr>
              <w:t xml:space="preserve">full-page images</w:t>
            </w:r>
          </w:p>
        </w:tc>
      </w:tr>
      <w:tr>
        <w:tc>
          <w:tcPr>
            <w:tcW w:type="dxa" w:w="1778"/>
            <w:tcMar>
              <w:top w:type="dxa" w:w="60"/>
              <w:left w:type="dxa" w:w="100"/>
              <w:bottom w:type="dxa" w:w="60"/>
              <w:right w:type="dxa" w:w="100"/>
            </w:tcMar>
          </w:tcPr>
          <w:p>
            <w:pPr>
              <w:spacing w:after="0"/>
            </w:pPr>
            <w:r>
              <w:rPr>
                <w:b w:val="false"/>
                <w:bCs w:val="false"/>
                <w:color w:val="1a2332"/>
                <w:sz w:val="19"/>
                <w:szCs w:val="19"/>
              </w:rPr>
              <w:t xml:space="preserve">mutcd_figures_visual</w:t>
            </w:r>
          </w:p>
        </w:tc>
        <w:tc>
          <w:tcPr>
            <w:tcW w:type="dxa" w:w="2714"/>
            <w:tcMar>
              <w:top w:type="dxa" w:w="60"/>
              <w:left w:type="dxa" w:w="100"/>
              <w:bottom w:type="dxa" w:w="60"/>
              <w:right w:type="dxa" w:w="100"/>
            </w:tcMar>
          </w:tcPr>
          <w:p>
            <w:pPr>
              <w:spacing w:after="0"/>
            </w:pPr>
            <w:r>
              <w:rPr>
                <w:b w:val="false"/>
                <w:bCs w:val="false"/>
                <w:color w:val="1a2332"/>
                <w:sz w:val="19"/>
                <w:szCs w:val="19"/>
              </w:rPr>
              <w:t xml:space="preserve">128-d multivector, max-sim comparator</w:t>
            </w:r>
          </w:p>
        </w:tc>
        <w:tc>
          <w:tcPr>
            <w:tcW w:type="dxa" w:w="1591"/>
            <w:tcMar>
              <w:top w:type="dxa" w:w="60"/>
              <w:left w:type="dxa" w:w="100"/>
              <w:bottom w:type="dxa" w:w="60"/>
              <w:right w:type="dxa" w:w="100"/>
            </w:tcMar>
          </w:tcPr>
          <w:p>
            <w:pPr>
              <w:spacing w:after="0"/>
            </w:pPr>
            <w:r>
              <w:rPr>
                <w:b w:val="false"/>
                <w:bCs w:val="false"/>
                <w:color w:val="1a2332"/>
                <w:sz w:val="19"/>
                <w:szCs w:val="19"/>
              </w:rPr>
              <w:t xml:space="preserve">ColQwen2</w:t>
            </w:r>
          </w:p>
        </w:tc>
        <w:tc>
          <w:tcPr>
            <w:tcW w:type="dxa" w:w="3276"/>
            <w:tcMar>
              <w:top w:type="dxa" w:w="60"/>
              <w:left w:type="dxa" w:w="100"/>
              <w:bottom w:type="dxa" w:w="60"/>
              <w:right w:type="dxa" w:w="100"/>
            </w:tcMar>
          </w:tcPr>
          <w:p>
            <w:pPr>
              <w:spacing w:after="0"/>
            </w:pPr>
            <w:r>
              <w:rPr>
                <w:b w:val="false"/>
                <w:bCs w:val="false"/>
                <w:color w:val="1a2332"/>
                <w:sz w:val="19"/>
                <w:szCs w:val="19"/>
              </w:rPr>
              <w:t xml:space="preserve">figure crop images</w:t>
            </w:r>
          </w:p>
        </w:tc>
      </w:tr>
    </w:tbl>
    <w:p>
      <w:pPr>
        <w:spacing w:after="120"/>
      </w:pPr>
      <w:r>
        <w:rPr>
          <w:b w:val="false"/>
          <w:bCs w:val="false"/>
          <w:i w:val="false"/>
          <w:iCs w:val="false"/>
          <w:color w:val="1a2332"/>
          <w:sz w:val="21"/>
          <w:szCs w:val="21"/>
        </w:rPr>
        <w:t xml:space="preserve">The practical effect: a query can find evidence through four different doors — what the text says, what the caption says, what the page looks like, and what the figure itself looks like.</w:t>
      </w:r>
    </w:p>
    <w:p>
      <w:pPr>
        <w:pStyle w:val="Heading2"/>
        <w:spacing w:after="120" w:before="240"/>
      </w:pPr>
      <w:r>
        <w:rPr>
          <w:color w:val="31557a"/>
        </w:rPr>
        <w:t xml:space="preserve">5. The Knowledge Graph</w:t>
      </w:r>
    </w:p>
    <w:p>
      <w:pPr>
        <w:spacing w:after="120"/>
      </w:pPr>
      <w:r>
        <w:rPr>
          <w:b w:val="false"/>
          <w:bCs w:val="false"/>
          <w:i w:val="false"/>
          <w:iCs w:val="false"/>
          <w:color w:val="1a2332"/>
          <w:sz w:val="21"/>
          <w:szCs w:val="21"/>
        </w:rPr>
        <w:t xml:space="preserve">Built from the extraction metadata and persisted as a pickle loaded with networkx.</w:t>
      </w:r>
    </w:p>
    <w:p>
      <w:pPr>
        <w:spacing w:after="160" w:before="160"/>
        <w:jc w:val="center"/>
      </w:pPr>
      <w:r>
        <w:drawing>
          <wp:inline distT="0" distB="0" distL="0" distR="0">
            <wp:extent cx="59055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81425"/>
                    </a:xfrm>
                    <a:prstGeom prst="rect">
                      <a:avLst/>
                    </a:prstGeom>
                  </pic:spPr>
                </pic:pic>
              </a:graphicData>
            </a:graphic>
          </wp:inline>
        </w:drawing>
      </w:r>
    </w:p>
    <w:p>
      <w:pPr>
        <w:spacing w:after="120"/>
      </w:pPr>
      <w:r>
        <w:rPr>
          <w:b/>
          <w:bCs/>
          <w:color w:val="1a2332"/>
          <w:sz w:val="21"/>
          <w:szCs w:val="21"/>
        </w:rPr>
        <w:t xml:space="preserve">Nodes: </w:t>
      </w:r>
      <w:r>
        <w:rPr>
          <w:color w:val="1a2332"/>
          <w:sz w:val="21"/>
          <w:szCs w:val="21"/>
        </w:rPr>
        <w:t xml:space="preserve">sections, figures, tables, sign codes. </w:t>
      </w:r>
      <w:r>
        <w:rPr>
          <w:b/>
          <w:bCs/>
          <w:color w:val="1a2332"/>
          <w:sz w:val="21"/>
          <w:szCs w:val="21"/>
        </w:rPr>
        <w:t xml:space="preserve">Edges, two sources: </w:t>
      </w:r>
      <w:r>
        <w:rPr>
          <w:color w:val="1a2332"/>
          <w:sz w:val="21"/>
          <w:szCs w:val="21"/>
        </w:rPr>
        <w:t xml:space="preserve">the containment hierarchy (Part → Chapter → Section edges), and the extracted cross-references — a section that says “see Figure 2B-1” or “in accordance with Section 1C.02” gets an edge to that node.</w:t>
      </w:r>
    </w:p>
    <w:p>
      <w:pPr>
        <w:spacing w:after="120"/>
      </w:pPr>
      <w:r>
        <w:rPr>
          <w:b w:val="false"/>
          <w:bCs w:val="false"/>
          <w:i w:val="false"/>
          <w:iCs w:val="false"/>
          <w:color w:val="1a2332"/>
          <w:sz w:val="21"/>
          <w:szCs w:val="21"/>
        </w:rPr>
        <w:t xml:space="preserve">At query time the system runs light entity linking over the question (the retrieval debug logs a query_entities list, so section IDs, sign codes, and figure names in the query get resolved to graph nodes). The graph then serves as a retrieval prior rather than a separate answer path: candidates that are graph-close to the query's entities or to other strong candidates get boosted. The proximity enters the fused score through a dedicated weight, w_graph.</w:t>
      </w:r>
    </w:p>
    <w:p>
      <w:pPr>
        <w:shd w:fill="fdf1e3" w:val="clear"/>
        <w:spacing w:after="160" w:before="120"/>
      </w:pPr>
      <w:r>
        <w:rPr>
          <w:i/>
          <w:iCs/>
          <w:color w:val="1a2332"/>
          <w:sz w:val="20"/>
          <w:szCs w:val="20"/>
        </w:rPr>
        <w:t xml:space="preserve">Honesty note (recorded code audit, LE22): the “graph expansion” step in retrieval.py is a stub — the KG re-scores dense candidates via w_graph but does not add new candidates to the pool. Any paper claim must say re-ranking, not retrieval expansion.</w:t>
      </w:r>
    </w:p>
    <w:p>
      <w:pPr>
        <w:pStyle w:val="Heading2"/>
        <w:spacing w:after="120" w:before="240"/>
      </w:pPr>
      <w:r>
        <w:rPr>
          <w:color w:val="31557a"/>
        </w:rPr>
        <w:t xml:space="preserve">6. The Query-Time Pipeline</w:t>
      </w:r>
    </w:p>
    <w:p>
      <w:pPr>
        <w:spacing w:after="160" w:before="160"/>
        <w:jc w:val="center"/>
      </w:pPr>
      <w:r>
        <w:drawing>
          <wp:inline distT="0" distB="0" distL="0" distR="0">
            <wp:extent cx="59055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600575"/>
                    </a:xfrm>
                    <a:prstGeom prst="rect">
                      <a:avLst/>
                    </a:prstGeom>
                  </pic:spPr>
                </pic:pic>
              </a:graphicData>
            </a:graphic>
          </wp:inline>
        </w:drawing>
      </w:r>
    </w:p>
    <w:p>
      <w:pPr>
        <w:spacing w:after="120"/>
      </w:pPr>
      <w:r>
        <w:rPr>
          <w:b/>
          <w:bCs/>
          <w:i w:val="false"/>
          <w:iCs w:val="false"/>
          <w:color w:val="1a2332"/>
          <w:sz w:val="21"/>
          <w:szCs w:val="21"/>
        </w:rPr>
        <w:t xml:space="preserve">Stage detail, in order:</w:t>
      </w:r>
    </w:p>
    <w:p>
      <w:pPr>
        <w:pStyle w:val="ListParagraph"/>
        <w:numPr>
          <w:ilvl w:val="0"/>
          <w:numId w:val="3"/>
        </w:numPr>
        <w:spacing w:after="80"/>
      </w:pPr>
      <w:r>
        <w:rPr>
          <w:b/>
          <w:bCs/>
          <w:color w:val="1a2332"/>
          <w:sz w:val="21"/>
          <w:szCs w:val="21"/>
        </w:rPr>
        <w:t xml:space="preserve">Question router. </w:t>
      </w:r>
      <w:r>
        <w:rPr>
          <w:color w:val="1a2332"/>
          <w:sz w:val="21"/>
          <w:szCs w:val="21"/>
        </w:rPr>
        <w:t xml:space="preserve">A lightweight classifier decides whether visual evidence is needed at all, emitting a decision, a confidence, and a figure budget. The debug shows entries like needs_figures: False, confidence: 0.9, max_figures: 0. That confidence is also what feeds the calibration term in the reliability score, which is why disabling the router makes the full composite undefined.</w:t>
      </w:r>
    </w:p>
    <w:p>
      <w:pPr>
        <w:pStyle w:val="ListParagraph"/>
        <w:numPr>
          <w:ilvl w:val="0"/>
          <w:numId w:val="3"/>
        </w:numPr>
        <w:spacing w:after="80"/>
      </w:pPr>
      <w:r>
        <w:rPr>
          <w:b/>
          <w:bCs/>
          <w:color w:val="1a2332"/>
          <w:sz w:val="21"/>
          <w:szCs w:val="21"/>
        </w:rPr>
        <w:t xml:space="preserve">Text retrieval </w:t>
      </w:r>
      <w:r>
        <w:rPr>
          <w:color w:val="1a2332"/>
          <w:sz w:val="21"/>
          <w:szCs w:val="21"/>
        </w:rPr>
        <w:t xml:space="preserve">runs hybrid dense-plus-sparse search over the chunks and fuses the results with three structural priors added to the similarity signal: graph proximity (w_graph), a rule-type weight (w_ruletype) that favors provisions whose normative type fits the question, and a hierarchy prior (w_hierarchy) that rewards candidates clustered in the same section neighborhood.</w:t>
      </w:r>
    </w:p>
    <w:p>
      <w:pPr>
        <w:pStyle w:val="ListParagraph"/>
        <w:numPr>
          <w:ilvl w:val="0"/>
          <w:numId w:val="3"/>
        </w:numPr>
        <w:spacing w:after="80"/>
      </w:pPr>
      <w:r>
        <w:rPr>
          <w:b/>
          <w:bCs/>
          <w:color w:val="1a2332"/>
          <w:sz w:val="21"/>
          <w:szCs w:val="21"/>
        </w:rPr>
        <w:t xml:space="preserve">Rerank. </w:t>
      </w:r>
      <w:r>
        <w:rPr>
          <w:color w:val="1a2332"/>
          <w:sz w:val="21"/>
          <w:szCs w:val="21"/>
        </w:rPr>
        <w:t xml:space="preserve">The fused top-K candidates go through a cross-encoder reranker, mxbai-rerank-large-v2 (with a BGE-reranker fallback), which rescores query-document pairs and keeps the top 6 chunks (CFG.top_k_after_rerank = 6).</w:t>
      </w:r>
    </w:p>
    <w:p>
      <w:pPr>
        <w:pStyle w:val="ListParagraph"/>
        <w:numPr>
          <w:ilvl w:val="0"/>
          <w:numId w:val="3"/>
        </w:numPr>
        <w:spacing w:after="80"/>
      </w:pPr>
      <w:r>
        <w:rPr>
          <w:b/>
          <w:bCs/>
          <w:color w:val="1a2332"/>
          <w:sz w:val="21"/>
          <w:szCs w:val="21"/>
        </w:rPr>
        <w:t xml:space="preserve">Page retrieval </w:t>
      </w:r>
      <w:r>
        <w:rPr>
          <w:color w:val="1a2332"/>
          <w:sz w:val="21"/>
          <w:szCs w:val="21"/>
        </w:rPr>
        <w:t xml:space="preserve">runs alongside: ColQwen2 late-interaction search over page images returns the top 4 pages regardless of routing (logs show pages retrieved even for textual questions).</w:t>
      </w:r>
    </w:p>
    <w:p>
      <w:pPr>
        <w:pStyle w:val="ListParagraph"/>
        <w:numPr>
          <w:ilvl w:val="0"/>
          <w:numId w:val="3"/>
        </w:numPr>
        <w:spacing w:after="80"/>
      </w:pPr>
      <w:r>
        <w:rPr>
          <w:b/>
          <w:bCs/>
          <w:color w:val="1a2332"/>
          <w:sz w:val="21"/>
          <w:szCs w:val="21"/>
        </w:rPr>
        <w:t xml:space="preserve">Figure retrieval, </w:t>
      </w:r>
      <w:r>
        <w:rPr>
          <w:color w:val="1a2332"/>
          <w:sz w:val="21"/>
          <w:szCs w:val="21"/>
        </w:rPr>
        <w:t xml:space="preserve">only if the router asked for figures: candidate crops are gathered through both the caption index and the visual index, then pass through the VLM figure filter — a cheap flash-tier vision model looks at each candidate crop against the question and discards irrelevant ones, with a fail-open fallback that keeps the top 4 unfiltered if the filter errors.</w:t>
      </w:r>
    </w:p>
    <w:p>
      <w:pPr>
        <w:pStyle w:val="ListParagraph"/>
        <w:numPr>
          <w:ilvl w:val="0"/>
          <w:numId w:val="3"/>
        </w:numPr>
        <w:spacing w:after="80"/>
      </w:pPr>
      <w:r>
        <w:rPr>
          <w:b/>
          <w:bCs/>
          <w:color w:val="1a2332"/>
          <w:sz w:val="21"/>
          <w:szCs w:val="21"/>
        </w:rPr>
        <w:t xml:space="preserve">Packaging. </w:t>
      </w:r>
      <w:r>
        <w:rPr>
          <w:color w:val="1a2332"/>
          <w:sz w:val="21"/>
          <w:szCs w:val="21"/>
        </w:rPr>
        <w:t xml:space="preserve">Everything is packaged into a RetrievalResult with exactly four fields: chunks, pages, figures, debug.</w:t>
      </w:r>
    </w:p>
    <w:p>
      <w:pPr>
        <w:pStyle w:val="Heading2"/>
        <w:spacing w:after="120" w:before="240"/>
      </w:pPr>
      <w:r>
        <w:rPr>
          <w:color w:val="31557a"/>
        </w:rPr>
        <w:t xml:space="preserve">7. Answer Generation</w:t>
      </w:r>
    </w:p>
    <w:p>
      <w:pPr>
        <w:spacing w:after="120"/>
      </w:pPr>
      <w:r>
        <w:rPr>
          <w:b w:val="false"/>
          <w:bCs w:val="false"/>
          <w:i w:val="false"/>
          <w:iCs w:val="false"/>
          <w:color w:val="1a2332"/>
          <w:sz w:val="21"/>
          <w:szCs w:val="21"/>
        </w:rPr>
        <w:t xml:space="preserve">The answer model is a vision-language model chosen from a multi-provider harness — Anthropic, Google, and Alibaba backends across three capability tiers, twelve configurations total — receiving the question, the six reranked chunks, the four page images, and the filtered figure crops, under a few-shot prompt. The prompt enforces the output discipline seen in every run:</w:t>
      </w:r>
    </w:p>
    <w:p>
      <w:pPr>
        <w:pStyle w:val="ListParagraph"/>
        <w:numPr>
          <w:ilvl w:val="0"/>
          <w:numId w:val="4"/>
        </w:numPr>
        <w:spacing w:after="80"/>
      </w:pPr>
      <w:r>
        <w:rPr>
          <w:color w:val="1a2332"/>
          <w:sz w:val="21"/>
          <w:szCs w:val="21"/>
        </w:rPr>
        <w:t xml:space="preserve">a Direct Answer,</w:t>
      </w:r>
    </w:p>
    <w:p>
      <w:pPr>
        <w:pStyle w:val="ListParagraph"/>
        <w:numPr>
          <w:ilvl w:val="0"/>
          <w:numId w:val="4"/>
        </w:numPr>
        <w:spacing w:after="80"/>
      </w:pPr>
      <w:r>
        <w:rPr>
          <w:color w:val="1a2332"/>
          <w:sz w:val="21"/>
          <w:szCs w:val="21"/>
        </w:rPr>
        <w:t xml:space="preserve">verbatim Standard and Support quotations separated by normative status,</w:t>
      </w:r>
    </w:p>
    <w:p>
      <w:pPr>
        <w:pStyle w:val="ListParagraph"/>
        <w:numPr>
          <w:ilvl w:val="0"/>
          <w:numId w:val="4"/>
        </w:numPr>
        <w:spacing w:after="80"/>
      </w:pPr>
      <w:r>
        <w:rPr>
          <w:color w:val="1a2332"/>
          <w:sz w:val="21"/>
          <w:szCs w:val="21"/>
        </w:rPr>
        <w:t xml:space="preserve">an explicit visual-evidence statement,</w:t>
      </w:r>
    </w:p>
    <w:p>
      <w:pPr>
        <w:pStyle w:val="ListParagraph"/>
        <w:numPr>
          <w:ilvl w:val="0"/>
          <w:numId w:val="4"/>
        </w:numPr>
        <w:spacing w:after="80"/>
      </w:pPr>
      <w:r>
        <w:rPr>
          <w:color w:val="1a2332"/>
          <w:sz w:val="21"/>
          <w:szCs w:val="21"/>
        </w:rPr>
        <w:t xml:space="preserve">citations localized to section, provision, and page.</w:t>
      </w:r>
    </w:p>
    <w:p>
      <w:pPr>
        <w:spacing w:after="120"/>
      </w:pPr>
      <w:r>
        <w:rPr>
          <w:b w:val="false"/>
          <w:bCs w:val="false"/>
          <w:i w:val="false"/>
          <w:iCs w:val="false"/>
          <w:color w:val="1a2332"/>
          <w:sz w:val="21"/>
          <w:szCs w:val="21"/>
        </w:rPr>
        <w:t xml:space="preserve">Claude Fable 5 in this harness was the configuration selected for in-depth analysis after winning the twelve-model comparison.</w:t>
      </w:r>
    </w:p>
    <w:p>
      <w:pPr>
        <w:pStyle w:val="Heading2"/>
        <w:spacing w:after="120" w:before="240"/>
      </w:pPr>
      <w:r>
        <w:rPr>
          <w:color w:val="31557a"/>
        </w:rPr>
        <w:t xml:space="preserve">8. What the Ablations Proved About This Design</w:t>
      </w:r>
    </w:p>
    <w:p>
      <w:pPr>
        <w:spacing w:after="120"/>
      </w:pPr>
      <w:r>
        <w:rPr>
          <w:b w:val="false"/>
          <w:bCs w:val="false"/>
          <w:i w:val="false"/>
          <w:iCs w:val="false"/>
          <w:color w:val="1a2332"/>
          <w:sz w:val="21"/>
          <w:szCs w:val="21"/>
        </w:rPr>
        <w:t xml:space="preserve">The leave-one-out study validated the design asymmetrically: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e8eef6" w:val="clear"/>
            <w:tcMar>
              <w:top w:type="dxa" w:w="60"/>
              <w:left w:type="dxa" w:w="100"/>
              <w:bottom w:type="dxa" w:w="60"/>
              <w:right w:type="dxa" w:w="100"/>
            </w:tcMar>
          </w:tcPr>
          <w:p>
            <w:pPr>
              <w:spacing w:after="0"/>
            </w:pPr>
            <w:r>
              <w:rPr>
                <w:b/>
                <w:bCs/>
                <w:color w:val="1a2332"/>
                <w:sz w:val="19"/>
                <w:szCs w:val="19"/>
              </w:rPr>
              <w:t xml:space="preserve">component removed</w:t>
            </w:r>
          </w:p>
        </w:tc>
        <w:tc>
          <w:tcPr>
            <w:tcW w:type="dxa" w:w="6739"/>
            <w:shd w:fill="e8eef6" w:val="clear"/>
            <w:tcMar>
              <w:top w:type="dxa" w:w="60"/>
              <w:left w:type="dxa" w:w="100"/>
              <w:bottom w:type="dxa" w:w="60"/>
              <w:right w:type="dxa" w:w="100"/>
            </w:tcMar>
          </w:tcPr>
          <w:p>
            <w:pPr>
              <w:spacing w:after="0"/>
            </w:pPr>
            <w:r>
              <w:rPr>
                <w:b/>
                <w:bCs/>
                <w:color w:val="1a2332"/>
                <w:sz w:val="19"/>
                <w:szCs w:val="19"/>
              </w:rPr>
              <w:t xml:space="preserve">finding</w:t>
            </w:r>
          </w:p>
        </w:tc>
      </w:tr>
      <w:tr>
        <w:tc>
          <w:tcPr>
            <w:tcW w:type="dxa" w:w="2621"/>
            <w:tcMar>
              <w:top w:type="dxa" w:w="60"/>
              <w:left w:type="dxa" w:w="100"/>
              <w:bottom w:type="dxa" w:w="60"/>
              <w:right w:type="dxa" w:w="100"/>
            </w:tcMar>
          </w:tcPr>
          <w:p>
            <w:pPr>
              <w:spacing w:after="0"/>
            </w:pPr>
            <w:r>
              <w:rPr>
                <w:b w:val="false"/>
                <w:bCs w:val="false"/>
                <w:color w:val="1a2332"/>
                <w:sz w:val="19"/>
                <w:szCs w:val="19"/>
              </w:rPr>
              <w:t xml:space="preserve">A6 — reranker</w:t>
            </w:r>
          </w:p>
        </w:tc>
        <w:tc>
          <w:tcPr>
            <w:tcW w:type="dxa" w:w="6739"/>
            <w:tcMar>
              <w:top w:type="dxa" w:w="60"/>
              <w:left w:type="dxa" w:w="100"/>
              <w:bottom w:type="dxa" w:w="60"/>
              <w:right w:type="dxa" w:w="100"/>
            </w:tcMar>
          </w:tcPr>
          <w:p>
            <w:pPr>
              <w:spacing w:after="0"/>
            </w:pPr>
            <w:r>
              <w:rPr>
                <w:b w:val="false"/>
                <w:bCs w:val="false"/>
                <w:color w:val="1a2332"/>
                <w:sz w:val="19"/>
                <w:szCs w:val="19"/>
              </w:rPr>
              <w:t xml:space="preserve">The single most load-bearing component. The only change with a confidence interval entirely below zero; hurts both retrieval and answers.</w:t>
            </w:r>
          </w:p>
        </w:tc>
      </w:tr>
      <w:tr>
        <w:tc>
          <w:tcPr>
            <w:tcW w:type="dxa" w:w="2621"/>
            <w:tcMar>
              <w:top w:type="dxa" w:w="60"/>
              <w:left w:type="dxa" w:w="100"/>
              <w:bottom w:type="dxa" w:w="60"/>
              <w:right w:type="dxa" w:w="100"/>
            </w:tcMar>
          </w:tcPr>
          <w:p>
            <w:pPr>
              <w:spacing w:after="0"/>
            </w:pPr>
            <w:r>
              <w:rPr>
                <w:b w:val="false"/>
                <w:bCs w:val="false"/>
                <w:color w:val="1a2332"/>
                <w:sz w:val="19"/>
                <w:szCs w:val="19"/>
              </w:rPr>
              <w:t xml:space="preserve">A2 — VLM figure filter</w:t>
            </w:r>
          </w:p>
        </w:tc>
        <w:tc>
          <w:tcPr>
            <w:tcW w:type="dxa" w:w="6739"/>
            <w:tcMar>
              <w:top w:type="dxa" w:w="60"/>
              <w:left w:type="dxa" w:w="100"/>
              <w:bottom w:type="dxa" w:w="60"/>
              <w:right w:type="dxa" w:w="100"/>
            </w:tcMar>
          </w:tcPr>
          <w:p>
            <w:pPr>
              <w:spacing w:after="0"/>
            </w:pPr>
            <w:r>
              <w:rPr>
                <w:b w:val="false"/>
                <w:bCs w:val="false"/>
                <w:color w:val="1a2332"/>
                <w:sz w:val="19"/>
                <w:szCs w:val="19"/>
              </w:rPr>
              <w:t xml:space="preserve">A precision device. Trades ~12 seconds of latency for roughly a threefold improvement in visual-crop precision.</w:t>
            </w:r>
          </w:p>
        </w:tc>
      </w:tr>
      <w:tr>
        <w:tc>
          <w:tcPr>
            <w:tcW w:type="dxa" w:w="2621"/>
            <w:tcMar>
              <w:top w:type="dxa" w:w="60"/>
              <w:left w:type="dxa" w:w="100"/>
              <w:bottom w:type="dxa" w:w="60"/>
              <w:right w:type="dxa" w:w="100"/>
            </w:tcMar>
          </w:tcPr>
          <w:p>
            <w:pPr>
              <w:spacing w:after="0"/>
            </w:pPr>
            <w:r>
              <w:rPr>
                <w:b w:val="false"/>
                <w:bCs w:val="false"/>
                <w:color w:val="1a2332"/>
                <w:sz w:val="19"/>
                <w:szCs w:val="19"/>
              </w:rPr>
              <w:t xml:space="preserve">A3 — graph prior, A4 — rule-type prior</w:t>
            </w:r>
          </w:p>
        </w:tc>
        <w:tc>
          <w:tcPr>
            <w:tcW w:type="dxa" w:w="6739"/>
            <w:tcMar>
              <w:top w:type="dxa" w:w="60"/>
              <w:left w:type="dxa" w:w="100"/>
              <w:bottom w:type="dxa" w:w="60"/>
              <w:right w:type="dxa" w:w="100"/>
            </w:tcMar>
          </w:tcPr>
          <w:p>
            <w:pPr>
              <w:spacing w:after="0"/>
            </w:pPr>
            <w:r>
              <w:rPr>
                <w:b w:val="false"/>
                <w:bCs w:val="false"/>
                <w:color w:val="1a2332"/>
                <w:sz w:val="19"/>
                <w:szCs w:val="19"/>
              </w:rPr>
              <w:t xml:space="preserve">Effects near the noise floor on end scores at N=150.</w:t>
            </w:r>
          </w:p>
        </w:tc>
      </w:tr>
      <w:tr>
        <w:tc>
          <w:tcPr>
            <w:tcW w:type="dxa" w:w="2621"/>
            <w:tcMar>
              <w:top w:type="dxa" w:w="60"/>
              <w:left w:type="dxa" w:w="100"/>
              <w:bottom w:type="dxa" w:w="60"/>
              <w:right w:type="dxa" w:w="100"/>
            </w:tcMar>
          </w:tcPr>
          <w:p>
            <w:pPr>
              <w:spacing w:after="0"/>
            </w:pPr>
            <w:r>
              <w:rPr>
                <w:b w:val="false"/>
                <w:bCs w:val="false"/>
                <w:color w:val="1a2332"/>
                <w:sz w:val="19"/>
                <w:szCs w:val="19"/>
              </w:rPr>
              <w:t xml:space="preserve">A5 — hierarchy prior</w:t>
            </w:r>
          </w:p>
        </w:tc>
        <w:tc>
          <w:tcPr>
            <w:tcW w:type="dxa" w:w="6739"/>
            <w:tcMar>
              <w:top w:type="dxa" w:w="60"/>
              <w:left w:type="dxa" w:w="100"/>
              <w:bottom w:type="dxa" w:w="60"/>
              <w:right w:type="dxa" w:w="100"/>
            </w:tcMar>
          </w:tcPr>
          <w:p>
            <w:pPr>
              <w:spacing w:after="0"/>
            </w:pPr>
            <w:r>
              <w:rPr>
                <w:b w:val="false"/>
                <w:bCs w:val="false"/>
                <w:color w:val="1a2332"/>
                <w:sz w:val="19"/>
                <w:szCs w:val="19"/>
              </w:rPr>
              <w:t xml:space="preserve">Specifically protected strict completeness (full-credit rate) while barely moving mean correctness.</w:t>
            </w:r>
          </w:p>
        </w:tc>
      </w:tr>
      <w:tr>
        <w:tc>
          <w:tcPr>
            <w:tcW w:type="dxa" w:w="2621"/>
            <w:tcMar>
              <w:top w:type="dxa" w:w="60"/>
              <w:left w:type="dxa" w:w="100"/>
              <w:bottom w:type="dxa" w:w="60"/>
              <w:right w:type="dxa" w:w="100"/>
            </w:tcMar>
          </w:tcPr>
          <w:p>
            <w:pPr>
              <w:spacing w:after="0"/>
            </w:pPr>
            <w:r>
              <w:rPr>
                <w:b w:val="false"/>
                <w:bCs w:val="false"/>
                <w:color w:val="1a2332"/>
                <w:sz w:val="19"/>
                <w:szCs w:val="19"/>
              </w:rPr>
              <w:t xml:space="preserve">A1 — question router</w:t>
            </w:r>
          </w:p>
        </w:tc>
        <w:tc>
          <w:tcPr>
            <w:tcW w:type="dxa" w:w="6739"/>
            <w:tcMar>
              <w:top w:type="dxa" w:w="60"/>
              <w:left w:type="dxa" w:w="100"/>
              <w:bottom w:type="dxa" w:w="60"/>
              <w:right w:type="dxa" w:w="100"/>
            </w:tcMar>
          </w:tcPr>
          <w:p>
            <w:pPr>
              <w:spacing w:after="0"/>
            </w:pPr>
            <w:r>
              <w:rPr>
                <w:b w:val="false"/>
                <w:bCs w:val="false"/>
                <w:color w:val="1a2332"/>
                <w:sz w:val="19"/>
                <w:szCs w:val="19"/>
              </w:rPr>
              <w:t xml:space="preserve">Earned its keep through efficiency and calibration rather than correctness (correctness slightly improved without it, because always-visual routing adds context).</w:t>
            </w:r>
          </w:p>
        </w:tc>
      </w:tr>
    </w:tbl>
    <w:p>
      <w:pPr>
        <w:pStyle w:val="Heading2"/>
        <w:spacing w:after="120" w:before="240"/>
      </w:pPr>
      <w:r>
        <w:rPr>
          <w:color w:val="31557a"/>
        </w:rPr>
        <w:t xml:space="preserve">9. Known Caveats</w:t>
      </w:r>
    </w:p>
    <w:p>
      <w:pPr>
        <w:pStyle w:val="ListParagraph"/>
        <w:numPr>
          <w:ilvl w:val="0"/>
          <w:numId w:val="5"/>
        </w:numPr>
        <w:spacing w:after="80"/>
      </w:pPr>
      <w:r>
        <w:rPr>
          <w:color w:val="1a2332"/>
          <w:sz w:val="21"/>
          <w:szCs w:val="21"/>
        </w:rPr>
        <w:t xml:space="preserve">The known weak spot is context precision, sitting below 50 percent, because sparse retrieval is degraded (the open fix is swapping the sparse leg or the embedder).</w:t>
      </w:r>
    </w:p>
    <w:p>
      <w:pPr>
        <w:pStyle w:val="ListParagraph"/>
        <w:numPr>
          <w:ilvl w:val="0"/>
          <w:numId w:val="5"/>
        </w:numPr>
        <w:spacing w:after="80"/>
      </w:pPr>
      <w:r>
        <w:rPr>
          <w:color w:val="1a2332"/>
          <w:sz w:val="21"/>
          <w:szCs w:val="21"/>
        </w:rPr>
        <w:t xml:space="preserve">The fine-grained internals not restated here — the exact fusion arithmetic and KG edge weights — are authoritative only in mrag/retrieval.py, mrag/vector_store.py, and the KG-construction code, not in this summary.</w:t>
      </w:r>
    </w:p>
    <w:p>
      <w:r>
        <w:br w:type="page"/>
      </w:r>
    </w:p>
    <w:p>
      <w:pPr>
        <w:pStyle w:val="Heading1"/>
        <w:spacing w:after="140" w:before="280"/>
      </w:pPr>
      <w:r>
        <w:rPr>
          <w:color w:val="31557a"/>
        </w:rPr>
        <w:t xml:space="preserve">Part II — Build Mechanics and Code Map</w:t>
      </w:r>
    </w:p>
    <w:p>
      <w:pPr>
        <w:pStyle w:val="Heading2"/>
        <w:spacing w:after="120" w:before="240"/>
      </w:pPr>
      <w:r>
        <w:rPr>
          <w:color w:val="31557a"/>
        </w:rPr>
        <w:t xml:space="preserve">10. Where the Code Lives</w:t>
      </w:r>
    </w:p>
    <w:p>
      <w:pPr>
        <w:spacing w:after="120"/>
      </w:pPr>
      <w:r>
        <w:rPr>
          <w:b w:val="false"/>
          <w:bCs w:val="false"/>
          <w:i w:val="false"/>
          <w:iCs w:val="false"/>
          <w:color w:val="1a2332"/>
          <w:sz w:val="21"/>
          <w:szCs w:val="21"/>
        </w:rPr>
        <w:t xml:space="preserve">Everything is in the repo, github.com/hannanazad/MRAG_stp2, split between the mrag/ package (the system) and scripts/ (the ingest orchestrators), driven by MUTCD_MRAG_HPRC.ipynb in Colab.</w:t>
      </w:r>
    </w:p>
    <w:p>
      <w:pPr>
        <w:shd w:fill="f4f6f9" w:val="clear"/>
        <w:spacing w:after="0"/>
      </w:pPr>
      <w:r>
        <w:rPr>
          <w:rFonts w:ascii="Courier New" w:cs="Courier New" w:eastAsia="Courier New" w:hAnsi="Courier New"/>
          <w:color w:val="1a2332"/>
          <w:sz w:val="16"/>
          <w:szCs w:val="16"/>
        </w:rPr>
        <w:t xml:space="preserve">MRAG_stp2/</w:t>
      </w:r>
    </w:p>
    <w:p>
      <w:pPr>
        <w:shd w:fill="f4f6f9" w:val="clear"/>
        <w:spacing w:after="0"/>
      </w:pPr>
      <w:r>
        <w:rPr>
          <w:rFonts w:ascii="Courier New" w:cs="Courier New" w:eastAsia="Courier New" w:hAnsi="Courier New"/>
          <w:color w:val="1a2332"/>
          <w:sz w:val="16"/>
          <w:szCs w:val="16"/>
        </w:rPr>
        <w:t xml:space="preserve">├── mrag/                        the system package</w:t>
      </w:r>
    </w:p>
    <w:p>
      <w:pPr>
        <w:shd w:fill="f4f6f9" w:val="clear"/>
        <w:spacing w:after="0"/>
      </w:pPr>
      <w:r>
        <w:rPr>
          <w:rFonts w:ascii="Courier New" w:cs="Courier New" w:eastAsia="Courier New" w:hAnsi="Courier New"/>
          <w:color w:val="1a2332"/>
          <w:sz w:val="16"/>
          <w:szCs w:val="16"/>
        </w:rPr>
        <w:t xml:space="preserve">│   ├── figure_core.py           caption grammar + region geometry (NEW in v4)</w:t>
      </w:r>
    </w:p>
    <w:p>
      <w:pPr>
        <w:shd w:fill="f4f6f9" w:val="clear"/>
        <w:spacing w:after="0"/>
      </w:pPr>
      <w:r>
        <w:rPr>
          <w:rFonts w:ascii="Courier New" w:cs="Courier New" w:eastAsia="Courier New" w:hAnsi="Courier New"/>
          <w:color w:val="1a2332"/>
          <w:sz w:val="16"/>
          <w:szCs w:val="16"/>
        </w:rPr>
        <w:t xml:space="preserve">│   ├── figures.py               extraction engine, dual backend (v1 archived)</w:t>
      </w:r>
    </w:p>
    <w:p>
      <w:pPr>
        <w:shd w:fill="f4f6f9" w:val="clear"/>
        <w:spacing w:after="0"/>
      </w:pPr>
      <w:r>
        <w:rPr>
          <w:rFonts w:ascii="Courier New" w:cs="Courier New" w:eastAsia="Courier New" w:hAnsi="Courier New"/>
          <w:color w:val="1a2332"/>
          <w:sz w:val="16"/>
          <w:szCs w:val="16"/>
        </w:rPr>
        <w:t xml:space="preserve">│   ├── parsing.py               provision-level chunking</w:t>
      </w:r>
    </w:p>
    <w:p>
      <w:pPr>
        <w:shd w:fill="f4f6f9" w:val="clear"/>
        <w:spacing w:after="0"/>
      </w:pPr>
      <w:r>
        <w:rPr>
          <w:rFonts w:ascii="Courier New" w:cs="Courier New" w:eastAsia="Courier New" w:hAnsi="Courier New"/>
          <w:color w:val="1a2332"/>
          <w:sz w:val="16"/>
          <w:szCs w:val="16"/>
        </w:rPr>
        <w:t xml:space="preserve">│   ├── kg.py                    knowledge graph v2 (v1 archived)</w:t>
      </w:r>
    </w:p>
    <w:p>
      <w:pPr>
        <w:shd w:fill="f4f6f9" w:val="clear"/>
        <w:spacing w:after="0"/>
      </w:pPr>
      <w:r>
        <w:rPr>
          <w:rFonts w:ascii="Courier New" w:cs="Courier New" w:eastAsia="Courier New" w:hAnsi="Courier New"/>
          <w:color w:val="1a2332"/>
          <w:sz w:val="16"/>
          <w:szCs w:val="16"/>
        </w:rPr>
        <w:t xml:space="preserve">│   ├── embeddings.py            BGE-M3, ColQwen2, mxbai reranker</w:t>
      </w:r>
    </w:p>
    <w:p>
      <w:pPr>
        <w:shd w:fill="f4f6f9" w:val="clear"/>
        <w:spacing w:after="0"/>
      </w:pPr>
      <w:r>
        <w:rPr>
          <w:rFonts w:ascii="Courier New" w:cs="Courier New" w:eastAsia="Courier New" w:hAnsi="Courier New"/>
          <w:color w:val="1a2332"/>
          <w:sz w:val="16"/>
          <w:szCs w:val="16"/>
        </w:rPr>
        <w:t xml:space="preserve">│   ├── vector_store.py          Qdrant wrapper, 4 collections, hybrid search</w:t>
      </w:r>
    </w:p>
    <w:p>
      <w:pPr>
        <w:shd w:fill="f4f6f9" w:val="clear"/>
        <w:spacing w:after="0"/>
      </w:pPr>
      <w:r>
        <w:rPr>
          <w:rFonts w:ascii="Courier New" w:cs="Courier New" w:eastAsia="Courier New" w:hAnsi="Courier New"/>
          <w:color w:val="1a2332"/>
          <w:sz w:val="16"/>
          <w:szCs w:val="16"/>
        </w:rPr>
        <w:t xml:space="preserve">│   ├── question_router.py       deterministic router (NEW in v4)</w:t>
      </w:r>
    </w:p>
    <w:p>
      <w:pPr>
        <w:shd w:fill="f4f6f9" w:val="clear"/>
        <w:spacing w:after="0"/>
      </w:pPr>
      <w:r>
        <w:rPr>
          <w:rFonts w:ascii="Courier New" w:cs="Courier New" w:eastAsia="Courier New" w:hAnsi="Courier New"/>
          <w:color w:val="1a2332"/>
          <w:sz w:val="16"/>
          <w:szCs w:val="16"/>
        </w:rPr>
        <w:t xml:space="preserve">│   ├── retrieval.py             Retriever: fusion, priors, rerank, pages</w:t>
      </w:r>
    </w:p>
    <w:p>
      <w:pPr>
        <w:shd w:fill="f4f6f9" w:val="clear"/>
        <w:spacing w:after="0"/>
      </w:pPr>
      <w:r>
        <w:rPr>
          <w:rFonts w:ascii="Courier New" w:cs="Courier New" w:eastAsia="Courier New" w:hAnsi="Courier New"/>
          <w:color w:val="1a2332"/>
          <w:sz w:val="16"/>
          <w:szCs w:val="16"/>
        </w:rPr>
        <w:t xml:space="preserve">│   ├── vlm.py                   ALL prompts (P1 answer, P2 filter) + providers</w:t>
      </w:r>
    </w:p>
    <w:p>
      <w:pPr>
        <w:shd w:fill="f4f6f9" w:val="clear"/>
        <w:spacing w:after="0"/>
      </w:pPr>
      <w:r>
        <w:rPr>
          <w:rFonts w:ascii="Courier New" w:cs="Courier New" w:eastAsia="Courier New" w:hAnsi="Courier New"/>
          <w:color w:val="1a2332"/>
          <w:sz w:val="16"/>
          <w:szCs w:val="16"/>
        </w:rPr>
        <w:t xml:space="preserve">│   ├── ask.py                   Pipeline, init_pipeline(), ask()</w:t>
      </w:r>
    </w:p>
    <w:p>
      <w:pPr>
        <w:shd w:fill="f4f6f9" w:val="clear"/>
        <w:spacing w:after="0"/>
      </w:pPr>
      <w:r>
        <w:rPr>
          <w:rFonts w:ascii="Courier New" w:cs="Courier New" w:eastAsia="Courier New" w:hAnsi="Courier New"/>
          <w:color w:val="1a2332"/>
          <w:sz w:val="16"/>
          <w:szCs w:val="16"/>
        </w:rPr>
        <w:t xml:space="preserve">│   ├── config.py                CFG: every toggle the ablations flipped</w:t>
      </w:r>
    </w:p>
    <w:p>
      <w:pPr>
        <w:shd w:fill="f4f6f9" w:val="clear"/>
        <w:spacing w:after="0"/>
      </w:pPr>
      <w:r>
        <w:rPr>
          <w:rFonts w:ascii="Courier New" w:cs="Courier New" w:eastAsia="Courier New" w:hAnsi="Courier New"/>
          <w:color w:val="1a2332"/>
          <w:sz w:val="16"/>
          <w:szCs w:val="16"/>
        </w:rPr>
        <w:t xml:space="preserve">│   ├── figures_v1_deprecated.py archived broken v1 extractor</w:t>
      </w:r>
    </w:p>
    <w:p>
      <w:pPr>
        <w:shd w:fill="f4f6f9" w:val="clear"/>
        <w:spacing w:after="0"/>
      </w:pPr>
      <w:r>
        <w:rPr>
          <w:rFonts w:ascii="Courier New" w:cs="Courier New" w:eastAsia="Courier New" w:hAnsi="Courier New"/>
          <w:color w:val="1a2332"/>
          <w:sz w:val="16"/>
          <w:szCs w:val="16"/>
        </w:rPr>
        <w:t xml:space="preserve">│   └── kg_v1_deprecated.py      archived v1 graph builder</w:t>
      </w:r>
    </w:p>
    <w:p>
      <w:pPr>
        <w:shd w:fill="f4f6f9" w:val="clear"/>
        <w:spacing w:after="0"/>
      </w:pPr>
      <w:r>
        <w:rPr>
          <w:rFonts w:ascii="Courier New" w:cs="Courier New" w:eastAsia="Courier New" w:hAnsi="Courier New"/>
          <w:color w:val="1a2332"/>
          <w:sz w:val="16"/>
          <w:szCs w:val="16"/>
        </w:rPr>
        <w:t xml:space="preserve">├── scripts/</w:t>
      </w:r>
    </w:p>
    <w:p>
      <w:pPr>
        <w:shd w:fill="f4f6f9" w:val="clear"/>
        <w:spacing w:after="0"/>
      </w:pPr>
      <w:r>
        <w:rPr>
          <w:rFonts w:ascii="Courier New" w:cs="Courier New" w:eastAsia="Courier New" w:hAnsi="Courier New"/>
          <w:color w:val="1a2332"/>
          <w:sz w:val="16"/>
          <w:szCs w:val="16"/>
        </w:rPr>
        <w:t xml:space="preserve">│   ├── ingest_v4.py             current ingest orchestrator (NEW in v4)</w:t>
      </w:r>
    </w:p>
    <w:p>
      <w:pPr>
        <w:shd w:fill="f4f6f9" w:val="clear"/>
        <w:spacing w:after="0"/>
      </w:pPr>
      <w:r>
        <w:rPr>
          <w:rFonts w:ascii="Courier New" w:cs="Courier New" w:eastAsia="Courier New" w:hAnsi="Courier New"/>
          <w:color w:val="1a2332"/>
          <w:sz w:val="16"/>
          <w:szCs w:val="16"/>
        </w:rPr>
        <w:t xml:space="preserve">│   └── ingest_v3.py             predecessor orchestrator</w:t>
      </w:r>
    </w:p>
    <w:p>
      <w:pPr>
        <w:shd w:fill="f4f6f9" w:val="clear"/>
        <w:spacing w:after="0"/>
      </w:pPr>
      <w:r>
        <w:rPr>
          <w:rFonts w:ascii="Courier New" w:cs="Courier New" w:eastAsia="Courier New" w:hAnsi="Courier New"/>
          <w:color w:val="1a2332"/>
          <w:sz w:val="16"/>
          <w:szCs w:val="16"/>
        </w:rPr>
        <w:t xml:space="preserve">├── ablations/                   ablation study harness (separate docs)</w:t>
      </w:r>
    </w:p>
    <w:p>
      <w:pPr>
        <w:shd w:fill="f4f6f9" w:val="clear"/>
        <w:spacing w:after="0"/>
      </w:pPr>
      <w:r>
        <w:rPr>
          <w:rFonts w:ascii="Courier New" w:cs="Courier New" w:eastAsia="Courier New" w:hAnsi="Courier New"/>
          <w:color w:val="1a2332"/>
          <w:sz w:val="16"/>
          <w:szCs w:val="16"/>
        </w:rPr>
        <w:t xml:space="preserve">├── docs/REBUILD_V4.md           v4 rebuild documentation</w:t>
      </w:r>
    </w:p>
    <w:p>
      <w:pPr>
        <w:shd w:fill="f4f6f9" w:val="clear"/>
        <w:spacing w:after="0"/>
      </w:pPr>
      <w:r>
        <w:rPr>
          <w:rFonts w:ascii="Courier New" w:cs="Courier New" w:eastAsia="Courier New" w:hAnsi="Courier New"/>
          <w:color w:val="1a2332"/>
          <w:sz w:val="16"/>
          <w:szCs w:val="16"/>
        </w:rPr>
        <w:t xml:space="preserve">├── validation/                  census_records.jsonl + coverage_report.json</w:t>
      </w:r>
    </w:p>
    <w:p>
      <w:pPr>
        <w:shd w:fill="f4f6f9" w:val="clear"/>
        <w:spacing w:after="0"/>
      </w:pPr>
      <w:r>
        <w:rPr>
          <w:rFonts w:ascii="Courier New" w:cs="Courier New" w:eastAsia="Courier New" w:hAnsi="Courier New"/>
          <w:color w:val="1a2332"/>
          <w:sz w:val="16"/>
          <w:szCs w:val="16"/>
        </w:rPr>
        <w:t xml:space="preserve">└── MUTCD_MRAG_HPRC.ipynb        main Colab driver notebook</w:t>
      </w:r>
    </w:p>
    <w:p>
      <w:pPr>
        <w:pStyle w:val="Heading2"/>
        <w:spacing w:after="120" w:before="240"/>
      </w:pPr>
      <w:r>
        <w:rPr>
          <w:color w:val="31557a"/>
        </w:rPr>
        <w:t xml:space="preserve">11. Code Responsibility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e8eef6" w:val="clear"/>
            <w:tcMar>
              <w:top w:type="dxa" w:w="60"/>
              <w:left w:type="dxa" w:w="100"/>
              <w:bottom w:type="dxa" w:w="60"/>
              <w:right w:type="dxa" w:w="100"/>
            </w:tcMar>
          </w:tcPr>
          <w:p>
            <w:pPr>
              <w:spacing w:after="0"/>
            </w:pPr>
            <w:r>
              <w:rPr>
                <w:b/>
                <w:bCs/>
                <w:color w:val="1a2332"/>
                <w:sz w:val="18"/>
                <w:szCs w:val="18"/>
              </w:rPr>
              <w:t xml:space="preserve">file</w:t>
            </w:r>
          </w:p>
        </w:tc>
        <w:tc>
          <w:tcPr>
            <w:tcW w:type="dxa" w:w="7114"/>
            <w:shd w:fill="e8eef6" w:val="clear"/>
            <w:tcMar>
              <w:top w:type="dxa" w:w="60"/>
              <w:left w:type="dxa" w:w="100"/>
              <w:bottom w:type="dxa" w:w="60"/>
              <w:right w:type="dxa" w:w="100"/>
            </w:tcMar>
          </w:tcPr>
          <w:p>
            <w:pPr>
              <w:spacing w:after="0"/>
            </w:pPr>
            <w:r>
              <w:rPr>
                <w:b/>
                <w:bCs/>
                <w:color w:val="1a2332"/>
                <w:sz w:val="18"/>
                <w:szCs w:val="18"/>
              </w:rPr>
              <w:t xml:space="preserve">responsibility</w:t>
            </w:r>
          </w:p>
        </w:tc>
      </w:tr>
      <w:tr>
        <w:tc>
          <w:tcPr>
            <w:tcW w:type="dxa" w:w="2246"/>
            <w:tcMar>
              <w:top w:type="dxa" w:w="60"/>
              <w:left w:type="dxa" w:w="100"/>
              <w:bottom w:type="dxa" w:w="60"/>
              <w:right w:type="dxa" w:w="100"/>
            </w:tcMar>
          </w:tcPr>
          <w:p>
            <w:pPr>
              <w:spacing w:after="0"/>
            </w:pPr>
            <w:r>
              <w:rPr>
                <w:b w:val="false"/>
                <w:bCs w:val="false"/>
                <w:color w:val="1a2332"/>
                <w:sz w:val="18"/>
                <w:szCs w:val="18"/>
              </w:rPr>
              <w:t xml:space="preserve">scripts/ingest_v4.py</w:t>
            </w:r>
          </w:p>
        </w:tc>
        <w:tc>
          <w:tcPr>
            <w:tcW w:type="dxa" w:w="7114"/>
            <w:tcMar>
              <w:top w:type="dxa" w:w="60"/>
              <w:left w:type="dxa" w:w="100"/>
              <w:bottom w:type="dxa" w:w="60"/>
              <w:right w:type="dxa" w:w="100"/>
            </w:tcMar>
          </w:tcPr>
          <w:p>
            <w:pPr>
              <w:spacing w:after="0"/>
            </w:pPr>
            <w:r>
              <w:rPr>
                <w:b w:val="false"/>
                <w:bCs w:val="false"/>
                <w:color w:val="1a2332"/>
                <w:sz w:val="18"/>
                <w:szCs w:val="18"/>
              </w:rPr>
              <w:t xml:space="preserve">The ingest orchestrator. Runs the full chain: figure/table extraction → rescue pass → coverage gate (--min-coverage 0.99, exits non-zero on failure so a silent gap is impossible) → chunk re-parse → KG build → embedding + Qdrant upsert. Archives old caches as *.bak. Its predecessor scripts/ingest_v3.py did the earlier version.</w:t>
            </w:r>
          </w:p>
        </w:tc>
      </w:tr>
      <w:tr>
        <w:tc>
          <w:tcPr>
            <w:tcW w:type="dxa" w:w="2246"/>
            <w:tcMar>
              <w:top w:type="dxa" w:w="60"/>
              <w:left w:type="dxa" w:w="100"/>
              <w:bottom w:type="dxa" w:w="60"/>
              <w:right w:type="dxa" w:w="100"/>
            </w:tcMar>
          </w:tcPr>
          <w:p>
            <w:pPr>
              <w:spacing w:after="0"/>
            </w:pPr>
            <w:r>
              <w:rPr>
                <w:b w:val="false"/>
                <w:bCs w:val="false"/>
                <w:color w:val="1a2332"/>
                <w:sz w:val="18"/>
                <w:szCs w:val="18"/>
              </w:rPr>
              <w:t xml:space="preserve">mrag/figure_core.py</w:t>
            </w:r>
          </w:p>
        </w:tc>
        <w:tc>
          <w:tcPr>
            <w:tcW w:type="dxa" w:w="7114"/>
            <w:tcMar>
              <w:top w:type="dxa" w:w="60"/>
              <w:left w:type="dxa" w:w="100"/>
              <w:bottom w:type="dxa" w:w="60"/>
              <w:right w:type="dxa" w:w="100"/>
            </w:tcMar>
          </w:tcPr>
          <w:p>
            <w:pPr>
              <w:spacing w:after="0"/>
            </w:pPr>
            <w:r>
              <w:rPr>
                <w:b w:val="false"/>
                <w:bCs w:val="false"/>
                <w:color w:val="1a2332"/>
                <w:sz w:val="18"/>
                <w:szCs w:val="18"/>
              </w:rPr>
              <w:t xml:space="preserve">The caption grammar and region geometry, backend-agnostic. This is where the cropping logic lives: the crop-below rule, column-aware bounds, TOC guard, dash normalization, sheet parsing, and the mention census used for validation.</w:t>
            </w:r>
          </w:p>
        </w:tc>
      </w:tr>
      <w:tr>
        <w:tc>
          <w:tcPr>
            <w:tcW w:type="dxa" w:w="2246"/>
            <w:tcMar>
              <w:top w:type="dxa" w:w="60"/>
              <w:left w:type="dxa" w:w="100"/>
              <w:bottom w:type="dxa" w:w="60"/>
              <w:right w:type="dxa" w:w="100"/>
            </w:tcMar>
          </w:tcPr>
          <w:p>
            <w:pPr>
              <w:spacing w:after="0"/>
            </w:pPr>
            <w:r>
              <w:rPr>
                <w:b w:val="false"/>
                <w:bCs w:val="false"/>
                <w:color w:val="1a2332"/>
                <w:sz w:val="18"/>
                <w:szCs w:val="18"/>
              </w:rPr>
              <w:t xml:space="preserve">mrag/figures.py</w:t>
            </w:r>
          </w:p>
        </w:tc>
        <w:tc>
          <w:tcPr>
            <w:tcW w:type="dxa" w:w="7114"/>
            <w:tcMar>
              <w:top w:type="dxa" w:w="60"/>
              <w:left w:type="dxa" w:w="100"/>
              <w:bottom w:type="dxa" w:w="60"/>
              <w:right w:type="dxa" w:w="100"/>
            </w:tcMar>
          </w:tcPr>
          <w:p>
            <w:pPr>
              <w:spacing w:after="0"/>
            </w:pPr>
            <w:r>
              <w:rPr>
                <w:b w:val="false"/>
                <w:bCs w:val="false"/>
                <w:color w:val="1a2332"/>
                <w:sz w:val="18"/>
                <w:szCs w:val="18"/>
              </w:rPr>
              <w:t xml:space="preserve">The extraction engine that applies that geometry through two PDF backends: PyMuPDF (fitz) for production crops, poppler as an independent validation backend. Contains rescue_missing() and validate_coverage(). The broken v1 is archived as figures_v1_deprecated.py.</w:t>
            </w:r>
          </w:p>
        </w:tc>
      </w:tr>
      <w:tr>
        <w:tc>
          <w:tcPr>
            <w:tcW w:type="dxa" w:w="2246"/>
            <w:tcMar>
              <w:top w:type="dxa" w:w="60"/>
              <w:left w:type="dxa" w:w="100"/>
              <w:bottom w:type="dxa" w:w="60"/>
              <w:right w:type="dxa" w:w="100"/>
            </w:tcMar>
          </w:tcPr>
          <w:p>
            <w:pPr>
              <w:spacing w:after="0"/>
            </w:pPr>
            <w:r>
              <w:rPr>
                <w:b w:val="false"/>
                <w:bCs w:val="false"/>
                <w:color w:val="1a2332"/>
                <w:sz w:val="18"/>
                <w:szCs w:val="18"/>
              </w:rPr>
              <w:t xml:space="preserve">mrag/parsing.py</w:t>
            </w:r>
          </w:p>
        </w:tc>
        <w:tc>
          <w:tcPr>
            <w:tcW w:type="dxa" w:w="7114"/>
            <w:tcMar>
              <w:top w:type="dxa" w:w="60"/>
              <w:left w:type="dxa" w:w="100"/>
              <w:bottom w:type="dxa" w:w="60"/>
              <w:right w:type="dxa" w:w="100"/>
            </w:tcMar>
          </w:tcPr>
          <w:p>
            <w:pPr>
              <w:spacing w:after="0"/>
            </w:pPr>
            <w:r>
              <w:rPr>
                <w:b w:val="false"/>
                <w:bCs w:val="false"/>
                <w:color w:val="1a2332"/>
                <w:sz w:val="18"/>
                <w:szCs w:val="18"/>
              </w:rPr>
              <w:t xml:space="preserve">Provision-level chunking of the text: splits sections into Standard/Guidance/Option/Support blocks and extracts figure_refs, table_refs, section_refs, sign_codes, modal_verbs per chunk, with the same dash normalization.</w:t>
            </w:r>
          </w:p>
        </w:tc>
      </w:tr>
      <w:tr>
        <w:tc>
          <w:tcPr>
            <w:tcW w:type="dxa" w:w="2246"/>
            <w:tcMar>
              <w:top w:type="dxa" w:w="60"/>
              <w:left w:type="dxa" w:w="100"/>
              <w:bottom w:type="dxa" w:w="60"/>
              <w:right w:type="dxa" w:w="100"/>
            </w:tcMar>
          </w:tcPr>
          <w:p>
            <w:pPr>
              <w:spacing w:after="0"/>
            </w:pPr>
            <w:r>
              <w:rPr>
                <w:b w:val="false"/>
                <w:bCs w:val="false"/>
                <w:color w:val="1a2332"/>
                <w:sz w:val="18"/>
                <w:szCs w:val="18"/>
              </w:rPr>
              <w:t xml:space="preserve">mrag/kg.py</w:t>
            </w:r>
          </w:p>
        </w:tc>
        <w:tc>
          <w:tcPr>
            <w:tcW w:type="dxa" w:w="7114"/>
            <w:tcMar>
              <w:top w:type="dxa" w:w="60"/>
              <w:left w:type="dxa" w:w="100"/>
              <w:bottom w:type="dxa" w:w="60"/>
              <w:right w:type="dxa" w:w="100"/>
            </w:tcMar>
          </w:tcPr>
          <w:p>
            <w:pPr>
              <w:spacing w:after="0"/>
            </w:pPr>
            <w:r>
              <w:rPr>
                <w:b w:val="false"/>
                <w:bCs w:val="false"/>
                <w:color w:val="1a2332"/>
                <w:sz w:val="18"/>
                <w:szCs w:val="18"/>
              </w:rPr>
              <w:t xml:space="preserve">Builds the knowledge graph (v2; v1 archived as kg_v1_deprecated.py). One node per canonical figure/table id with an image_paths tuple for multi-sheet figures, and three-tier anchoring: anchored_in edges to citing sections (same-chapter preferred), falling back to belongs_to_chapter derived from the id, falling back to a weak on_page_of edge. Exposes section_cites_figures() which the router uses.</w:t>
            </w:r>
          </w:p>
        </w:tc>
      </w:tr>
      <w:tr>
        <w:tc>
          <w:tcPr>
            <w:tcW w:type="dxa" w:w="2246"/>
            <w:tcMar>
              <w:top w:type="dxa" w:w="60"/>
              <w:left w:type="dxa" w:w="100"/>
              <w:bottom w:type="dxa" w:w="60"/>
              <w:right w:type="dxa" w:w="100"/>
            </w:tcMar>
          </w:tcPr>
          <w:p>
            <w:pPr>
              <w:spacing w:after="0"/>
            </w:pPr>
            <w:r>
              <w:rPr>
                <w:b w:val="false"/>
                <w:bCs w:val="false"/>
                <w:color w:val="1a2332"/>
                <w:sz w:val="18"/>
                <w:szCs w:val="18"/>
              </w:rPr>
              <w:t xml:space="preserve">mrag/embeddings.py</w:t>
            </w:r>
          </w:p>
        </w:tc>
        <w:tc>
          <w:tcPr>
            <w:tcW w:type="dxa" w:w="7114"/>
            <w:tcMar>
              <w:top w:type="dxa" w:w="60"/>
              <w:left w:type="dxa" w:w="100"/>
              <w:bottom w:type="dxa" w:w="60"/>
              <w:right w:type="dxa" w:w="100"/>
            </w:tcMar>
          </w:tcPr>
          <w:p>
            <w:pPr>
              <w:spacing w:after="0"/>
            </w:pPr>
            <w:r>
              <w:rPr>
                <w:b w:val="false"/>
                <w:bCs w:val="false"/>
                <w:color w:val="1a2332"/>
                <w:sz w:val="18"/>
                <w:szCs w:val="18"/>
              </w:rPr>
              <w:t xml:space="preserve">Loads the models: BGE-M3 (dense 1024-d + sparse), ColQwen2 (128-d multivectors), and the mxbai reranker with its BGE cross-encoder fallback.</w:t>
            </w:r>
          </w:p>
        </w:tc>
      </w:tr>
      <w:tr>
        <w:tc>
          <w:tcPr>
            <w:tcW w:type="dxa" w:w="2246"/>
            <w:tcMar>
              <w:top w:type="dxa" w:w="60"/>
              <w:left w:type="dxa" w:w="100"/>
              <w:bottom w:type="dxa" w:w="60"/>
              <w:right w:type="dxa" w:w="100"/>
            </w:tcMar>
          </w:tcPr>
          <w:p>
            <w:pPr>
              <w:spacing w:after="0"/>
            </w:pPr>
            <w:r>
              <w:rPr>
                <w:b w:val="false"/>
                <w:bCs w:val="false"/>
                <w:color w:val="1a2332"/>
                <w:sz w:val="18"/>
                <w:szCs w:val="18"/>
              </w:rPr>
              <w:t xml:space="preserve">mrag/vector_store.py</w:t>
            </w:r>
          </w:p>
        </w:tc>
        <w:tc>
          <w:tcPr>
            <w:tcW w:type="dxa" w:w="7114"/>
            <w:tcMar>
              <w:top w:type="dxa" w:w="60"/>
              <w:left w:type="dxa" w:w="100"/>
              <w:bottom w:type="dxa" w:w="60"/>
              <w:right w:type="dxa" w:w="100"/>
            </w:tcMar>
          </w:tcPr>
          <w:p>
            <w:pPr>
              <w:spacing w:after="0"/>
            </w:pPr>
            <w:r>
              <w:rPr>
                <w:b w:val="false"/>
                <w:bCs w:val="false"/>
                <w:color w:val="1a2332"/>
                <w:sz w:val="18"/>
                <w:szCs w:val="18"/>
              </w:rPr>
              <w:t xml:space="preserve">The Qdrant wrapper: creates and searches the four collections, including search_chunks_hybrid.</w:t>
            </w:r>
          </w:p>
        </w:tc>
      </w:tr>
      <w:tr>
        <w:tc>
          <w:tcPr>
            <w:tcW w:type="dxa" w:w="2246"/>
            <w:tcMar>
              <w:top w:type="dxa" w:w="60"/>
              <w:left w:type="dxa" w:w="100"/>
              <w:bottom w:type="dxa" w:w="60"/>
              <w:right w:type="dxa" w:w="100"/>
            </w:tcMar>
          </w:tcPr>
          <w:p>
            <w:pPr>
              <w:spacing w:after="0"/>
            </w:pPr>
            <w:r>
              <w:rPr>
                <w:b w:val="false"/>
                <w:bCs w:val="false"/>
                <w:color w:val="1a2332"/>
                <w:sz w:val="18"/>
                <w:szCs w:val="18"/>
              </w:rPr>
              <w:t xml:space="preserve">mrag/question_router.py</w:t>
            </w:r>
          </w:p>
        </w:tc>
        <w:tc>
          <w:tcPr>
            <w:tcW w:type="dxa" w:w="7114"/>
            <w:tcMar>
              <w:top w:type="dxa" w:w="60"/>
              <w:left w:type="dxa" w:w="100"/>
              <w:bottom w:type="dxa" w:w="60"/>
              <w:right w:type="dxa" w:w="100"/>
            </w:tcMar>
          </w:tcPr>
          <w:p>
            <w:pPr>
              <w:spacing w:after="0"/>
            </w:pPr>
            <w:r>
              <w:rPr>
                <w:b w:val="false"/>
                <w:bCs w:val="false"/>
                <w:color w:val="1a2332"/>
                <w:sz w:val="18"/>
                <w:szCs w:val="18"/>
              </w:rPr>
              <w:t xml:space="preserve">The deterministic router (rules detailed in section 14).</w:t>
            </w:r>
          </w:p>
        </w:tc>
      </w:tr>
      <w:tr>
        <w:tc>
          <w:tcPr>
            <w:tcW w:type="dxa" w:w="2246"/>
            <w:tcMar>
              <w:top w:type="dxa" w:w="60"/>
              <w:left w:type="dxa" w:w="100"/>
              <w:bottom w:type="dxa" w:w="60"/>
              <w:right w:type="dxa" w:w="100"/>
            </w:tcMar>
          </w:tcPr>
          <w:p>
            <w:pPr>
              <w:spacing w:after="0"/>
            </w:pPr>
            <w:r>
              <w:rPr>
                <w:b w:val="false"/>
                <w:bCs w:val="false"/>
                <w:color w:val="1a2332"/>
                <w:sz w:val="18"/>
                <w:szCs w:val="18"/>
              </w:rPr>
              <w:t xml:space="preserve">mrag/retrieval.py</w:t>
            </w:r>
          </w:p>
        </w:tc>
        <w:tc>
          <w:tcPr>
            <w:tcW w:type="dxa" w:w="7114"/>
            <w:tcMar>
              <w:top w:type="dxa" w:w="60"/>
              <w:left w:type="dxa" w:w="100"/>
              <w:bottom w:type="dxa" w:w="60"/>
              <w:right w:type="dxa" w:w="100"/>
            </w:tcMar>
          </w:tcPr>
          <w:p>
            <w:pPr>
              <w:spacing w:after="0"/>
            </w:pPr>
            <w:r>
              <w:rPr>
                <w:b w:val="false"/>
                <w:bCs w:val="false"/>
                <w:color w:val="1a2332"/>
                <w:sz w:val="18"/>
                <w:szCs w:val="18"/>
              </w:rPr>
              <w:t xml:space="preserve">The Retriever: hybrid fusion with the w_graph/w_ruletype/w_hierarchy priors, rerank to top-6, page retrieval for every query, figure paths gated on the router's decision.</w:t>
            </w:r>
          </w:p>
        </w:tc>
      </w:tr>
      <w:tr>
        <w:tc>
          <w:tcPr>
            <w:tcW w:type="dxa" w:w="2246"/>
            <w:tcMar>
              <w:top w:type="dxa" w:w="60"/>
              <w:left w:type="dxa" w:w="100"/>
              <w:bottom w:type="dxa" w:w="60"/>
              <w:right w:type="dxa" w:w="100"/>
            </w:tcMar>
          </w:tcPr>
          <w:p>
            <w:pPr>
              <w:spacing w:after="0"/>
            </w:pPr>
            <w:r>
              <w:rPr>
                <w:b w:val="false"/>
                <w:bCs w:val="false"/>
                <w:color w:val="1a2332"/>
                <w:sz w:val="18"/>
                <w:szCs w:val="18"/>
              </w:rPr>
              <w:t xml:space="preserve">mrag/vlm.py</w:t>
            </w:r>
          </w:p>
        </w:tc>
        <w:tc>
          <w:tcPr>
            <w:tcW w:type="dxa" w:w="7114"/>
            <w:tcMar>
              <w:top w:type="dxa" w:w="60"/>
              <w:left w:type="dxa" w:w="100"/>
              <w:bottom w:type="dxa" w:w="60"/>
              <w:right w:type="dxa" w:w="100"/>
            </w:tcMar>
          </w:tcPr>
          <w:p>
            <w:pPr>
              <w:spacing w:after="0"/>
            </w:pPr>
            <w:r>
              <w:rPr>
                <w:b w:val="false"/>
                <w:bCs w:val="false"/>
                <w:color w:val="1a2332"/>
                <w:sz w:val="18"/>
                <w:szCs w:val="18"/>
              </w:rPr>
              <w:t xml:space="preserve">All prompts live here and only here: P1 the answer prompt (zeroshot/oneshot/fewshot/cot styles) and P2 the figure filter, plus the multi-provider API clients.</w:t>
            </w:r>
          </w:p>
        </w:tc>
      </w:tr>
      <w:tr>
        <w:tc>
          <w:tcPr>
            <w:tcW w:type="dxa" w:w="2246"/>
            <w:tcMar>
              <w:top w:type="dxa" w:w="60"/>
              <w:left w:type="dxa" w:w="100"/>
              <w:bottom w:type="dxa" w:w="60"/>
              <w:right w:type="dxa" w:w="100"/>
            </w:tcMar>
          </w:tcPr>
          <w:p>
            <w:pPr>
              <w:spacing w:after="0"/>
            </w:pPr>
            <w:r>
              <w:rPr>
                <w:b w:val="false"/>
                <w:bCs w:val="false"/>
                <w:color w:val="1a2332"/>
                <w:sz w:val="18"/>
                <w:szCs w:val="18"/>
              </w:rPr>
              <w:t xml:space="preserve">mrag/ask.py, mrag/config.py</w:t>
            </w:r>
          </w:p>
        </w:tc>
        <w:tc>
          <w:tcPr>
            <w:tcW w:type="dxa" w:w="7114"/>
            <w:tcMar>
              <w:top w:type="dxa" w:w="60"/>
              <w:left w:type="dxa" w:w="100"/>
              <w:bottom w:type="dxa" w:w="60"/>
              <w:right w:type="dxa" w:w="100"/>
            </w:tcMar>
          </w:tcPr>
          <w:p>
            <w:pPr>
              <w:spacing w:after="0"/>
            </w:pPr>
            <w:r>
              <w:rPr>
                <w:b w:val="false"/>
                <w:bCs w:val="false"/>
                <w:color w:val="1a2332"/>
                <w:sz w:val="18"/>
                <w:szCs w:val="18"/>
              </w:rPr>
              <w:t xml:space="preserve">init_pipeline(), ask(), and the CFG object with every toggle the ablations flipped.</w:t>
            </w:r>
          </w:p>
        </w:tc>
      </w:tr>
    </w:tbl>
    <w:p>
      <w:pPr>
        <w:pStyle w:val="Heading2"/>
        <w:spacing w:after="120" w:before="240"/>
      </w:pPr>
      <w:r>
        <w:rPr>
          <w:color w:val="31557a"/>
        </w:rPr>
        <w:t xml:space="preserve">12. Ingest Orchestration Flow</w:t>
      </w:r>
    </w:p>
    <w:p>
      <w:pPr>
        <w:spacing w:after="160" w:before="160"/>
        <w:jc w:val="center"/>
      </w:pPr>
      <w:r>
        <w:drawing>
          <wp:inline distT="0" distB="0" distL="0" distR="0">
            <wp:extent cx="53340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810125"/>
                    </a:xfrm>
                    <a:prstGeom prst="rect">
                      <a:avLst/>
                    </a:prstGeom>
                  </pic:spPr>
                </pic:pic>
              </a:graphicData>
            </a:graphic>
          </wp:inline>
        </w:drawing>
      </w:r>
    </w:p>
    <w:p>
      <w:r>
        <w:br w:type="page"/>
      </w:r>
    </w:p>
    <w:p>
      <w:pPr>
        <w:pStyle w:val="Heading2"/>
        <w:spacing w:after="120" w:before="240"/>
      </w:pPr>
      <w:r>
        <w:rPr>
          <w:color w:val="31557a"/>
        </w:rPr>
        <w:t xml:space="preserve">13. How Figures Were Actually Cropped (Deep Dive)</w:t>
      </w:r>
    </w:p>
    <w:p>
      <w:pPr>
        <w:spacing w:after="120"/>
      </w:pPr>
      <w:r>
        <w:rPr>
          <w:b/>
          <w:bCs/>
          <w:i w:val="false"/>
          <w:iCs w:val="false"/>
          <w:color w:val="1a2332"/>
          <w:sz w:val="21"/>
          <w:szCs w:val="21"/>
        </w:rPr>
        <w:t xml:space="preserve">This was the hardest engineering problem in the project and it went through a full rewrite. The method: caption-anchored geometric cropping, no ML layout detection.</w:t>
      </w:r>
    </w:p>
    <w:p>
      <w:pPr>
        <w:spacing w:after="160" w:before="160"/>
        <w:jc w:val="center"/>
      </w:pPr>
      <w:r>
        <w:drawing>
          <wp:inline distT="0" distB="0" distL="0" distR="0">
            <wp:extent cx="59055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876800"/>
                    </a:xfrm>
                    <a:prstGeom prst="rect">
                      <a:avLst/>
                    </a:prstGeom>
                  </pic:spPr>
                </pic:pic>
              </a:graphicData>
            </a:graphic>
          </wp:inline>
        </w:drawing>
      </w:r>
    </w:p>
    <w:p>
      <w:pPr>
        <w:spacing w:after="120"/>
      </w:pPr>
      <w:r>
        <w:rPr>
          <w:b/>
          <w:bCs/>
          <w:color w:val="1a2332"/>
          <w:sz w:val="21"/>
          <w:szCs w:val="21"/>
        </w:rPr>
        <w:t xml:space="preserve">The v1 failure story. </w:t>
      </w:r>
      <w:r>
        <w:rPr>
          <w:color w:val="1a2332"/>
          <w:sz w:val="21"/>
          <w:szCs w:val="21"/>
        </w:rPr>
        <w:t xml:space="preserve">The original v1 code assumed captions sit below their figures and cropped above each caption. The MUTCD puts every caption above its content, so v1: silently dropped figures whose captions sat at the top of a page (the missing-11 problem), and produced crops of the previous figure for mid-page captions (the wrong-crop problem). The v4 rewrite inverted the rule and then handled the long tail of real-page pathologies: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rPr>
          <w:tblHeader/>
        </w:trPr>
        <w:tc>
          <w:tcPr>
            <w:tcW w:type="dxa" w:w="2808"/>
            <w:shd w:fill="e8eef6" w:val="clear"/>
            <w:tcMar>
              <w:top w:type="dxa" w:w="60"/>
              <w:left w:type="dxa" w:w="100"/>
              <w:bottom w:type="dxa" w:w="60"/>
              <w:right w:type="dxa" w:w="100"/>
            </w:tcMar>
          </w:tcPr>
          <w:p>
            <w:pPr>
              <w:spacing w:after="0"/>
            </w:pPr>
            <w:r>
              <w:rPr>
                <w:b/>
                <w:bCs/>
                <w:color w:val="1a2332"/>
                <w:sz w:val="18"/>
                <w:szCs w:val="18"/>
              </w:rPr>
              <w:t xml:space="preserve">pathology</w:t>
            </w:r>
          </w:p>
        </w:tc>
        <w:tc>
          <w:tcPr>
            <w:tcW w:type="dxa" w:w="2808"/>
            <w:shd w:fill="e8eef6" w:val="clear"/>
            <w:tcMar>
              <w:top w:type="dxa" w:w="60"/>
              <w:left w:type="dxa" w:w="100"/>
              <w:bottom w:type="dxa" w:w="60"/>
              <w:right w:type="dxa" w:w="100"/>
            </w:tcMar>
          </w:tcPr>
          <w:p>
            <w:pPr>
              <w:spacing w:after="0"/>
            </w:pPr>
            <w:r>
              <w:rPr>
                <w:b/>
                <w:bCs/>
                <w:color w:val="1a2332"/>
                <w:sz w:val="18"/>
                <w:szCs w:val="18"/>
              </w:rPr>
              <w:t xml:space="preserve">example</w:t>
            </w:r>
          </w:p>
        </w:tc>
        <w:tc>
          <w:tcPr>
            <w:tcW w:type="dxa" w:w="3744"/>
            <w:shd w:fill="e8eef6" w:val="clear"/>
            <w:tcMar>
              <w:top w:type="dxa" w:w="60"/>
              <w:left w:type="dxa" w:w="100"/>
              <w:bottom w:type="dxa" w:w="60"/>
              <w:right w:type="dxa" w:w="100"/>
            </w:tcMar>
          </w:tcPr>
          <w:p>
            <w:pPr>
              <w:spacing w:after="0"/>
            </w:pPr>
            <w:r>
              <w:rPr>
                <w:b/>
                <w:bCs/>
                <w:color w:val="1a2332"/>
                <w:sz w:val="18"/>
                <w:szCs w:val="18"/>
              </w:rPr>
              <w:t xml:space="preserve">fix</w:t>
            </w:r>
          </w:p>
        </w:tc>
      </w:tr>
      <w:tr>
        <w:tc>
          <w:tcPr>
            <w:tcW w:type="dxa" w:w="2808"/>
            <w:tcMar>
              <w:top w:type="dxa" w:w="60"/>
              <w:left w:type="dxa" w:w="100"/>
              <w:bottom w:type="dxa" w:w="60"/>
              <w:right w:type="dxa" w:w="100"/>
            </w:tcMar>
          </w:tcPr>
          <w:p>
            <w:pPr>
              <w:spacing w:after="0"/>
            </w:pPr>
            <w:r>
              <w:rPr>
                <w:b w:val="false"/>
                <w:bCs w:val="false"/>
                <w:color w:val="1a2332"/>
                <w:sz w:val="18"/>
                <w:szCs w:val="18"/>
              </w:rPr>
              <w:t xml:space="preserve">inset two-column figures</w:t>
            </w:r>
          </w:p>
        </w:tc>
        <w:tc>
          <w:tcPr>
            <w:tcW w:type="dxa" w:w="2808"/>
            <w:tcMar>
              <w:top w:type="dxa" w:w="60"/>
              <w:left w:type="dxa" w:w="100"/>
              <w:bottom w:type="dxa" w:w="60"/>
              <w:right w:type="dxa" w:w="100"/>
            </w:tcMar>
          </w:tcPr>
          <w:p>
            <w:pPr>
              <w:spacing w:after="0"/>
            </w:pPr>
            <w:r>
              <w:rPr>
                <w:b w:val="false"/>
                <w:bCs w:val="false"/>
                <w:color w:val="1a2332"/>
                <w:sz w:val="18"/>
                <w:szCs w:val="18"/>
              </w:rPr>
              <w:t xml:space="preserve">caption mid-line in the text layer (Fig 2C-4)</w:t>
            </w:r>
          </w:p>
        </w:tc>
        <w:tc>
          <w:tcPr>
            <w:tcW w:type="dxa" w:w="3744"/>
            <w:tcMar>
              <w:top w:type="dxa" w:w="60"/>
              <w:left w:type="dxa" w:w="100"/>
              <w:bottom w:type="dxa" w:w="60"/>
              <w:right w:type="dxa" w:w="100"/>
            </w:tcMar>
          </w:tcPr>
          <w:p>
            <w:pPr>
              <w:spacing w:after="0"/>
            </w:pPr>
            <w:r>
              <w:rPr>
                <w:b w:val="false"/>
                <w:bCs w:val="false"/>
                <w:color w:val="1a2332"/>
                <w:sz w:val="18"/>
                <w:szCs w:val="18"/>
              </w:rPr>
              <w:t xml:space="preserve">column-aware x-bounds</w:t>
            </w:r>
          </w:p>
        </w:tc>
      </w:tr>
      <w:tr>
        <w:tc>
          <w:tcPr>
            <w:tcW w:type="dxa" w:w="2808"/>
            <w:tcMar>
              <w:top w:type="dxa" w:w="60"/>
              <w:left w:type="dxa" w:w="100"/>
              <w:bottom w:type="dxa" w:w="60"/>
              <w:right w:type="dxa" w:w="100"/>
            </w:tcMar>
          </w:tcPr>
          <w:p>
            <w:pPr>
              <w:spacing w:after="0"/>
            </w:pPr>
            <w:r>
              <w:rPr>
                <w:b w:val="false"/>
                <w:bCs w:val="false"/>
                <w:color w:val="1a2332"/>
                <w:sz w:val="18"/>
                <w:szCs w:val="18"/>
              </w:rPr>
              <w:t xml:space="preserve">side-by-side captions on one row</w:t>
            </w:r>
          </w:p>
        </w:tc>
        <w:tc>
          <w:tcPr>
            <w:tcW w:type="dxa" w:w="2808"/>
            <w:tcMar>
              <w:top w:type="dxa" w:w="60"/>
              <w:left w:type="dxa" w:w="100"/>
              <w:bottom w:type="dxa" w:w="60"/>
              <w:right w:type="dxa" w:w="100"/>
            </w:tcMar>
          </w:tcPr>
          <w:p>
            <w:pPr>
              <w:spacing w:after="0"/>
            </w:pPr>
            <w:r>
              <w:rPr>
                <w:b w:val="false"/>
                <w:bCs w:val="false"/>
                <w:color w:val="1a2332"/>
                <w:sz w:val="18"/>
                <w:szCs w:val="18"/>
              </w:rPr>
              <w:t xml:space="preserve">Tables 4C-6 / 4C-7 were zeroing each other's regions</w:t>
            </w:r>
          </w:p>
        </w:tc>
        <w:tc>
          <w:tcPr>
            <w:tcW w:type="dxa" w:w="3744"/>
            <w:tcMar>
              <w:top w:type="dxa" w:w="60"/>
              <w:left w:type="dxa" w:w="100"/>
              <w:bottom w:type="dxa" w:w="60"/>
              <w:right w:type="dxa" w:w="100"/>
            </w:tcMar>
          </w:tcPr>
          <w:p>
            <w:pPr>
              <w:spacing w:after="0"/>
            </w:pPr>
            <w:r>
              <w:rPr>
                <w:b w:val="false"/>
                <w:bCs w:val="false"/>
                <w:color w:val="1a2332"/>
                <w:sz w:val="18"/>
                <w:szCs w:val="18"/>
              </w:rPr>
              <w:t xml:space="preserve">width partitioning of the shared row</w:t>
            </w:r>
          </w:p>
        </w:tc>
      </w:tr>
      <w:tr>
        <w:tc>
          <w:tcPr>
            <w:tcW w:type="dxa" w:w="2808"/>
            <w:tcMar>
              <w:top w:type="dxa" w:w="60"/>
              <w:left w:type="dxa" w:w="100"/>
              <w:bottom w:type="dxa" w:w="60"/>
              <w:right w:type="dxa" w:w="100"/>
            </w:tcMar>
          </w:tcPr>
          <w:p>
            <w:pPr>
              <w:spacing w:after="0"/>
            </w:pPr>
            <w:r>
              <w:rPr>
                <w:b w:val="false"/>
                <w:bCs w:val="false"/>
                <w:color w:val="1a2332"/>
                <w:sz w:val="18"/>
                <w:szCs w:val="18"/>
              </w:rPr>
              <w:t xml:space="preserve">table-of-contents pages matching the caption pattern</w:t>
            </w:r>
          </w:p>
        </w:tc>
        <w:tc>
          <w:tcPr>
            <w:tcW w:type="dxa" w:w="2808"/>
            <w:tcMar>
              <w:top w:type="dxa" w:w="60"/>
              <w:left w:type="dxa" w:w="100"/>
              <w:bottom w:type="dxa" w:w="60"/>
              <w:right w:type="dxa" w:w="100"/>
            </w:tcMar>
          </w:tcPr>
          <w:p>
            <w:pPr>
              <w:spacing w:after="0"/>
            </w:pPr>
            <w:r>
              <w:rPr>
                <w:b w:val="false"/>
                <w:bCs w:val="false"/>
                <w:color w:val="1a2332"/>
                <w:sz w:val="18"/>
                <w:szCs w:val="18"/>
              </w:rPr>
              <w:t xml:space="preserve">List of Figures pages</w:t>
            </w:r>
          </w:p>
        </w:tc>
        <w:tc>
          <w:tcPr>
            <w:tcW w:type="dxa" w:w="3744"/>
            <w:tcMar>
              <w:top w:type="dxa" w:w="60"/>
              <w:left w:type="dxa" w:w="100"/>
              <w:bottom w:type="dxa" w:w="60"/>
              <w:right w:type="dxa" w:w="100"/>
            </w:tcMar>
          </w:tcPr>
          <w:p>
            <w:pPr>
              <w:spacing w:after="0"/>
            </w:pPr>
            <w:r>
              <w:rPr>
                <w:b w:val="false"/>
                <w:bCs w:val="false"/>
                <w:color w:val="1a2332"/>
                <w:sz w:val="18"/>
                <w:szCs w:val="18"/>
              </w:rPr>
              <w:t xml:space="preserve">page-level guard: skip pages with ≥2 dot-leader lines</w:t>
            </w:r>
          </w:p>
        </w:tc>
      </w:tr>
      <w:tr>
        <w:tc>
          <w:tcPr>
            <w:tcW w:type="dxa" w:w="2808"/>
            <w:tcMar>
              <w:top w:type="dxa" w:w="60"/>
              <w:left w:type="dxa" w:w="100"/>
              <w:bottom w:type="dxa" w:w="60"/>
              <w:right w:type="dxa" w:w="100"/>
            </w:tcMar>
          </w:tcPr>
          <w:p>
            <w:pPr>
              <w:spacing w:after="0"/>
            </w:pPr>
            <w:r>
              <w:rPr>
                <w:b w:val="false"/>
                <w:bCs w:val="false"/>
                <w:color w:val="1a2332"/>
                <w:sz w:val="18"/>
                <w:szCs w:val="18"/>
              </w:rPr>
              <w:t xml:space="preserve">multi-sheet figures</w:t>
            </w:r>
          </w:p>
        </w:tc>
        <w:tc>
          <w:tcPr>
            <w:tcW w:type="dxa" w:w="2808"/>
            <w:tcMar>
              <w:top w:type="dxa" w:w="60"/>
              <w:left w:type="dxa" w:w="100"/>
              <w:bottom w:type="dxa" w:w="60"/>
              <w:right w:type="dxa" w:w="100"/>
            </w:tcMar>
          </w:tcPr>
          <w:p>
            <w:pPr>
              <w:spacing w:after="0"/>
            </w:pPr>
            <w:r>
              <w:rPr>
                <w:b w:val="false"/>
                <w:bCs w:val="false"/>
                <w:color w:val="1a2332"/>
                <w:sz w:val="18"/>
                <w:szCs w:val="18"/>
              </w:rPr>
              <w:t xml:space="preserve">“(Sheet n of m)” markers at the end of titles</w:t>
            </w:r>
          </w:p>
        </w:tc>
        <w:tc>
          <w:tcPr>
            <w:tcW w:type="dxa" w:w="3744"/>
            <w:tcMar>
              <w:top w:type="dxa" w:w="60"/>
              <w:left w:type="dxa" w:w="100"/>
              <w:bottom w:type="dxa" w:w="60"/>
              <w:right w:type="dxa" w:w="100"/>
            </w:tcMar>
          </w:tcPr>
          <w:p>
            <w:pPr>
              <w:spacing w:after="0"/>
            </w:pPr>
            <w:r>
              <w:rPr>
                <w:b w:val="false"/>
                <w:bCs w:val="false"/>
                <w:color w:val="1a2332"/>
                <w:sz w:val="18"/>
                <w:szCs w:val="18"/>
              </w:rPr>
              <w:t xml:space="preserve">collapse into one canonical id holding a tuple of image paths</w:t>
            </w:r>
          </w:p>
        </w:tc>
      </w:tr>
      <w:tr>
        <w:tc>
          <w:tcPr>
            <w:tcW w:type="dxa" w:w="2808"/>
            <w:tcMar>
              <w:top w:type="dxa" w:w="60"/>
              <w:left w:type="dxa" w:w="100"/>
              <w:bottom w:type="dxa" w:w="60"/>
              <w:right w:type="dxa" w:w="100"/>
            </w:tcMar>
          </w:tcPr>
          <w:p>
            <w:pPr>
              <w:spacing w:after="0"/>
            </w:pPr>
            <w:r>
              <w:rPr>
                <w:b w:val="false"/>
                <w:bCs w:val="false"/>
                <w:color w:val="1a2332"/>
                <w:sz w:val="18"/>
                <w:szCs w:val="18"/>
              </w:rPr>
              <w:t xml:space="preserve">tiny tables under the minimum crop height</w:t>
            </w:r>
          </w:p>
        </w:tc>
        <w:tc>
          <w:tcPr>
            <w:tcW w:type="dxa" w:w="2808"/>
            <w:tcMar>
              <w:top w:type="dxa" w:w="60"/>
              <w:left w:type="dxa" w:w="100"/>
              <w:bottom w:type="dxa" w:w="60"/>
              <w:right w:type="dxa" w:w="100"/>
            </w:tcMar>
          </w:tcPr>
          <w:p>
            <w:pPr>
              <w:spacing w:after="0"/>
            </w:pPr>
            <w:r>
              <w:rPr>
                <w:b w:val="false"/>
                <w:bCs w:val="false"/>
                <w:color w:val="1a2332"/>
                <w:sz w:val="18"/>
                <w:szCs w:val="18"/>
              </w:rPr>
              <w:t xml:space="preserve">Table 2A-3 (~37 pt)</w:t>
            </w:r>
          </w:p>
        </w:tc>
        <w:tc>
          <w:tcPr>
            <w:tcW w:type="dxa" w:w="3744"/>
            <w:tcMar>
              <w:top w:type="dxa" w:w="60"/>
              <w:left w:type="dxa" w:w="100"/>
              <w:bottom w:type="dxa" w:w="60"/>
              <w:right w:type="dxa" w:w="100"/>
            </w:tcMar>
          </w:tcPr>
          <w:p>
            <w:pPr>
              <w:spacing w:after="0"/>
            </w:pPr>
            <w:r>
              <w:rPr>
                <w:b w:val="false"/>
                <w:bCs w:val="false"/>
                <w:color w:val="1a2332"/>
                <w:sz w:val="18"/>
                <w:szCs w:val="18"/>
              </w:rPr>
              <w:t xml:space="preserve">relaxed-minimum-height rescue pass for zero-crop ids</w:t>
            </w:r>
          </w:p>
        </w:tc>
      </w:tr>
      <w:tr>
        <w:tc>
          <w:tcPr>
            <w:tcW w:type="dxa" w:w="2808"/>
            <w:tcMar>
              <w:top w:type="dxa" w:w="60"/>
              <w:left w:type="dxa" w:w="100"/>
              <w:bottom w:type="dxa" w:w="60"/>
              <w:right w:type="dxa" w:w="100"/>
            </w:tcMar>
          </w:tcPr>
          <w:p>
            <w:pPr>
              <w:spacing w:after="0"/>
            </w:pPr>
            <w:r>
              <w:rPr>
                <w:b w:val="false"/>
                <w:bCs w:val="false"/>
                <w:color w:val="1a2332"/>
                <w:sz w:val="18"/>
                <w:szCs w:val="18"/>
              </w:rPr>
              <w:t xml:space="preserve">non-breaking hyphens in Rev-1 ids</w:t>
            </w:r>
          </w:p>
        </w:tc>
        <w:tc>
          <w:tcPr>
            <w:tcW w:type="dxa" w:w="2808"/>
            <w:tcMar>
              <w:top w:type="dxa" w:w="60"/>
              <w:left w:type="dxa" w:w="100"/>
              <w:bottom w:type="dxa" w:w="60"/>
              <w:right w:type="dxa" w:w="100"/>
            </w:tcMar>
          </w:tcPr>
          <w:p>
            <w:pPr>
              <w:spacing w:after="0"/>
            </w:pPr>
            <w:r>
              <w:rPr>
                <w:b w:val="false"/>
                <w:bCs w:val="false"/>
                <w:color w:val="1a2332"/>
                <w:sz w:val="18"/>
                <w:szCs w:val="18"/>
              </w:rPr>
              <w:t xml:space="preserve">“Table 6B‑2” with U+2011, invisible to ASCII regex</w:t>
            </w:r>
          </w:p>
        </w:tc>
        <w:tc>
          <w:tcPr>
            <w:tcW w:type="dxa" w:w="3744"/>
            <w:tcMar>
              <w:top w:type="dxa" w:w="60"/>
              <w:left w:type="dxa" w:w="100"/>
              <w:bottom w:type="dxa" w:w="60"/>
              <w:right w:type="dxa" w:w="100"/>
            </w:tcMar>
          </w:tcPr>
          <w:p>
            <w:pPr>
              <w:spacing w:after="0"/>
            </w:pPr>
            <w:r>
              <w:rPr>
                <w:b w:val="false"/>
                <w:bCs w:val="false"/>
                <w:color w:val="1a2332"/>
                <w:sz w:val="18"/>
                <w:szCs w:val="18"/>
              </w:rPr>
              <w:t xml:space="preserve">normalize U+2010–U+2014 → “-” at every id-matching point (captions, mentions, chunk refs, query parsing)</w:t>
            </w:r>
          </w:p>
        </w:tc>
      </w:tr>
      <w:tr>
        <w:tc>
          <w:tcPr>
            <w:tcW w:type="dxa" w:w="2808"/>
            <w:tcMar>
              <w:top w:type="dxa" w:w="60"/>
              <w:left w:type="dxa" w:w="100"/>
              <w:bottom w:type="dxa" w:w="60"/>
              <w:right w:type="dxa" w:w="100"/>
            </w:tcMar>
          </w:tcPr>
          <w:p>
            <w:pPr>
              <w:spacing w:after="0"/>
            </w:pPr>
            <w:r>
              <w:rPr>
                <w:b w:val="false"/>
                <w:bCs w:val="false"/>
                <w:color w:val="1a2332"/>
                <w:sz w:val="18"/>
                <w:szCs w:val="18"/>
              </w:rPr>
              <w:t xml:space="preserve">external references that look like tables</w:t>
            </w:r>
          </w:p>
        </w:tc>
        <w:tc>
          <w:tcPr>
            <w:tcW w:type="dxa" w:w="2808"/>
            <w:tcMar>
              <w:top w:type="dxa" w:w="60"/>
              <w:left w:type="dxa" w:w="100"/>
              <w:bottom w:type="dxa" w:w="60"/>
              <w:right w:type="dxa" w:w="100"/>
            </w:tcMar>
          </w:tcPr>
          <w:p>
            <w:pPr>
              <w:spacing w:after="0"/>
            </w:pPr>
            <w:r>
              <w:rPr>
                <w:b w:val="false"/>
                <w:bCs w:val="false"/>
                <w:color w:val="1a2332"/>
                <w:sz w:val="18"/>
                <w:szCs w:val="18"/>
              </w:rPr>
              <w:t xml:space="preserve">“Table 3-1 / 3-3” are AASHTO citations, not MUTCD tables</w:t>
            </w:r>
          </w:p>
        </w:tc>
        <w:tc>
          <w:tcPr>
            <w:tcW w:type="dxa" w:w="3744"/>
            <w:tcMar>
              <w:top w:type="dxa" w:w="60"/>
              <w:left w:type="dxa" w:w="100"/>
              <w:bottom w:type="dxa" w:w="60"/>
              <w:right w:type="dxa" w:w="100"/>
            </w:tcMar>
          </w:tcPr>
          <w:p>
            <w:pPr>
              <w:spacing w:after="0"/>
            </w:pPr>
            <w:r>
              <w:rPr>
                <w:b w:val="false"/>
                <w:bCs w:val="false"/>
                <w:color w:val="1a2332"/>
                <w:sz w:val="18"/>
                <w:szCs w:val="18"/>
              </w:rPr>
              <w:t xml:space="preserve">auto-excluded from the coverage census</w:t>
            </w:r>
          </w:p>
        </w:tc>
      </w:tr>
      <w:tr>
        <w:tc>
          <w:tcPr>
            <w:tcW w:type="dxa" w:w="2808"/>
            <w:tcMar>
              <w:top w:type="dxa" w:w="60"/>
              <w:left w:type="dxa" w:w="100"/>
              <w:bottom w:type="dxa" w:w="60"/>
              <w:right w:type="dxa" w:w="100"/>
            </w:tcMar>
          </w:tcPr>
          <w:p>
            <w:pPr>
              <w:spacing w:after="0"/>
            </w:pPr>
            <w:r>
              <w:rPr>
                <w:b w:val="false"/>
                <w:bCs w:val="false"/>
                <w:color w:val="1a2332"/>
                <w:sz w:val="18"/>
                <w:szCs w:val="18"/>
              </w:rPr>
              <w:t xml:space="preserve">body sentences mimicking captions</w:t>
            </w:r>
          </w:p>
        </w:tc>
        <w:tc>
          <w:tcPr>
            <w:tcW w:type="dxa" w:w="2808"/>
            <w:tcMar>
              <w:top w:type="dxa" w:w="60"/>
              <w:left w:type="dxa" w:w="100"/>
              <w:bottom w:type="dxa" w:w="60"/>
              <w:right w:type="dxa" w:w="100"/>
            </w:tcMar>
          </w:tcPr>
          <w:p>
            <w:pPr>
              <w:spacing w:after="0"/>
            </w:pPr>
            <w:r>
              <w:rPr>
                <w:b w:val="false"/>
                <w:bCs w:val="false"/>
                <w:color w:val="1a2332"/>
                <w:sz w:val="18"/>
                <w:szCs w:val="18"/>
              </w:rPr>
              <w:t xml:space="preserve">“Table 2C-1 may be used.” at line start</w:t>
            </w:r>
          </w:p>
        </w:tc>
        <w:tc>
          <w:tcPr>
            <w:tcW w:type="dxa" w:w="3744"/>
            <w:tcMar>
              <w:top w:type="dxa" w:w="60"/>
              <w:left w:type="dxa" w:w="100"/>
              <w:bottom w:type="dxa" w:w="60"/>
              <w:right w:type="dxa" w:w="100"/>
            </w:tcMar>
          </w:tcPr>
          <w:p>
            <w:pPr>
              <w:spacing w:after="0"/>
            </w:pPr>
            <w:r>
              <w:rPr>
                <w:b w:val="false"/>
                <w:bCs w:val="false"/>
                <w:color w:val="1a2332"/>
                <w:sz w:val="18"/>
                <w:szCs w:val="18"/>
              </w:rPr>
              <w:t xml:space="preserve">CAPTION_RE requires the id-terminating period — true captions are always “Figure X-Y. Title”</w:t>
            </w:r>
          </w:p>
        </w:tc>
      </w:tr>
    </w:tbl>
    <w:p>
      <w:pPr>
        <w:spacing w:after="120"/>
      </w:pPr>
      <w:r>
        <w:rPr>
          <w:b/>
          <w:bCs/>
          <w:i w:val="false"/>
          <w:iCs w:val="false"/>
          <w:color w:val="1a2332"/>
          <w:sz w:val="21"/>
          <w:szCs w:val="21"/>
        </w:rPr>
        <w:t xml:space="preserve">The safety net that made it trustworthy:</w:t>
      </w:r>
    </w:p>
    <w:p>
      <w:pPr>
        <w:pStyle w:val="ListParagraph"/>
        <w:numPr>
          <w:ilvl w:val="0"/>
          <w:numId w:val="6"/>
        </w:numPr>
        <w:spacing w:after="80"/>
      </w:pPr>
      <w:r>
        <w:rPr>
          <w:color w:val="1a2332"/>
          <w:sz w:val="21"/>
          <w:szCs w:val="21"/>
        </w:rPr>
        <w:t xml:space="preserve">a mention census scans the entire document for every “Figure X-Y” and “Table X-Y” string,</w:t>
      </w:r>
    </w:p>
    <w:p>
      <w:pPr>
        <w:pStyle w:val="ListParagraph"/>
        <w:numPr>
          <w:ilvl w:val="0"/>
          <w:numId w:val="6"/>
        </w:numPr>
        <w:spacing w:after="80"/>
      </w:pPr>
      <w:r>
        <w:rPr>
          <w:color w:val="1a2332"/>
          <w:sz w:val="21"/>
          <w:szCs w:val="21"/>
        </w:rPr>
        <w:t xml:space="preserve">the same extraction runs through the independent poppler backend, and</w:t>
      </w:r>
    </w:p>
    <w:p>
      <w:pPr>
        <w:pStyle w:val="ListParagraph"/>
        <w:numPr>
          <w:ilvl w:val="0"/>
          <w:numId w:val="6"/>
        </w:numPr>
        <w:spacing w:after="80"/>
      </w:pPr>
      <w:r>
        <w:rPr>
          <w:color w:val="1a2332"/>
          <w:sz w:val="21"/>
          <w:szCs w:val="21"/>
        </w:rPr>
        <w:t xml:space="preserve">validate_coverage() hard-fails the ingest below 99 percent coverage.</w:t>
      </w:r>
    </w:p>
    <w:p>
      <w:pPr>
        <w:spacing w:after="120"/>
      </w:pPr>
      <w:r>
        <w:rPr>
          <w:b w:val="false"/>
          <w:bCs w:val="false"/>
          <w:i w:val="false"/>
          <w:iCs w:val="false"/>
          <w:color w:val="1a2332"/>
          <w:sz w:val="21"/>
          <w:szCs w:val="21"/>
        </w:rPr>
        <w:t xml:space="preserve">That gate actually caught a real bug in production: fitz's span-joined text had encoding artifacts (“Figure4F-1.” with the space glyph missing, “4F- 1” with the id split across glyph runs) that made five 4F figures invisible — which is why extraction was rebuilt on geometric word segmentation (page.get_text(“words”)), mirroring the validated poppler path, plus canonicalize_ids() to repair fused/split ids.</w:t>
      </w:r>
    </w:p>
    <w:p>
      <w:pPr>
        <w:spacing w:after="120"/>
      </w:pPr>
      <w:r>
        <w:rPr>
          <w:b/>
          <w:bCs/>
          <w:i w:val="false"/>
          <w:iCs w:val="false"/>
          <w:color w:val="1a2332"/>
          <w:sz w:val="21"/>
          <w:szCs w:val="21"/>
        </w:rPr>
        <w:t xml:space="preserve">Final validated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ef6" w:val="clear"/>
            <w:tcMar>
              <w:top w:type="dxa" w:w="60"/>
              <w:left w:type="dxa" w:w="100"/>
              <w:bottom w:type="dxa" w:w="60"/>
              <w:right w:type="dxa" w:w="100"/>
            </w:tcMar>
          </w:tcPr>
          <w:p>
            <w:pPr>
              <w:spacing w:after="0"/>
            </w:pPr>
            <w:r>
              <w:rPr>
                <w:b/>
                <w:bCs/>
                <w:color w:val="1a2332"/>
                <w:sz w:val="19"/>
                <w:szCs w:val="19"/>
              </w:rPr>
              <w:t xml:space="preserve">metric</w:t>
            </w:r>
          </w:p>
        </w:tc>
        <w:tc>
          <w:tcPr>
            <w:tcW w:type="dxa" w:w="4680"/>
            <w:shd w:fill="e8eef6" w:val="clear"/>
            <w:tcMar>
              <w:top w:type="dxa" w:w="60"/>
              <w:left w:type="dxa" w:w="100"/>
              <w:bottom w:type="dxa" w:w="60"/>
              <w:right w:type="dxa" w:w="100"/>
            </w:tcMar>
          </w:tcPr>
          <w:p>
            <w:pPr>
              <w:spacing w:after="0"/>
            </w:pPr>
            <w:r>
              <w:rPr>
                <w:b/>
                <w:bCs/>
                <w:color w:val="1a2332"/>
                <w:sz w:val="19"/>
                <w:szCs w:val="19"/>
              </w:rPr>
              <w:t xml:space="preserve">value</w:t>
            </w:r>
          </w:p>
        </w:tc>
      </w:tr>
      <w:tr>
        <w:tc>
          <w:tcPr>
            <w:tcW w:type="dxa" w:w="4680"/>
            <w:tcMar>
              <w:top w:type="dxa" w:w="60"/>
              <w:left w:type="dxa" w:w="100"/>
              <w:bottom w:type="dxa" w:w="60"/>
              <w:right w:type="dxa" w:w="100"/>
            </w:tcMar>
          </w:tcPr>
          <w:p>
            <w:pPr>
              <w:spacing w:after="0"/>
            </w:pPr>
            <w:r>
              <w:rPr>
                <w:b w:val="false"/>
                <w:bCs w:val="false"/>
                <w:color w:val="1a2332"/>
                <w:sz w:val="19"/>
                <w:szCs w:val="19"/>
              </w:rPr>
              <w:t xml:space="preserve">figure coverage</w:t>
            </w:r>
          </w:p>
        </w:tc>
        <w:tc>
          <w:tcPr>
            <w:tcW w:type="dxa" w:w="4680"/>
            <w:tcMar>
              <w:top w:type="dxa" w:w="60"/>
              <w:left w:type="dxa" w:w="100"/>
              <w:bottom w:type="dxa" w:w="60"/>
              <w:right w:type="dxa" w:w="100"/>
            </w:tcMar>
          </w:tcPr>
          <w:p>
            <w:pPr>
              <w:spacing w:after="0"/>
            </w:pPr>
            <w:r>
              <w:rPr>
                <w:b w:val="false"/>
                <w:bCs w:val="false"/>
                <w:color w:val="1a2332"/>
                <w:sz w:val="19"/>
                <w:szCs w:val="19"/>
              </w:rPr>
              <w:t xml:space="preserve">485 / 485 = 100.0%</w:t>
            </w:r>
          </w:p>
        </w:tc>
      </w:tr>
      <w:tr>
        <w:tc>
          <w:tcPr>
            <w:tcW w:type="dxa" w:w="4680"/>
            <w:tcMar>
              <w:top w:type="dxa" w:w="60"/>
              <w:left w:type="dxa" w:w="100"/>
              <w:bottom w:type="dxa" w:w="60"/>
              <w:right w:type="dxa" w:w="100"/>
            </w:tcMar>
          </w:tcPr>
          <w:p>
            <w:pPr>
              <w:spacing w:after="0"/>
            </w:pPr>
            <w:r>
              <w:rPr>
                <w:b w:val="false"/>
                <w:bCs w:val="false"/>
                <w:color w:val="1a2332"/>
                <w:sz w:val="19"/>
                <w:szCs w:val="19"/>
              </w:rPr>
              <w:t xml:space="preserve">table coverage</w:t>
            </w:r>
          </w:p>
        </w:tc>
        <w:tc>
          <w:tcPr>
            <w:tcW w:type="dxa" w:w="4680"/>
            <w:tcMar>
              <w:top w:type="dxa" w:w="60"/>
              <w:left w:type="dxa" w:w="100"/>
              <w:bottom w:type="dxa" w:w="60"/>
              <w:right w:type="dxa" w:w="100"/>
            </w:tcMar>
          </w:tcPr>
          <w:p>
            <w:pPr>
              <w:spacing w:after="0"/>
            </w:pPr>
            <w:r>
              <w:rPr>
                <w:b w:val="false"/>
                <w:bCs w:val="false"/>
                <w:color w:val="1a2332"/>
                <w:sz w:val="19"/>
                <w:szCs w:val="19"/>
              </w:rPr>
              <w:t xml:space="preserve">68 / 68 = 100.0%</w:t>
            </w:r>
          </w:p>
        </w:tc>
      </w:tr>
      <w:tr>
        <w:tc>
          <w:tcPr>
            <w:tcW w:type="dxa" w:w="4680"/>
            <w:tcMar>
              <w:top w:type="dxa" w:w="60"/>
              <w:left w:type="dxa" w:w="100"/>
              <w:bottom w:type="dxa" w:w="60"/>
              <w:right w:type="dxa" w:w="100"/>
            </w:tcMar>
          </w:tcPr>
          <w:p>
            <w:pPr>
              <w:spacing w:after="0"/>
            </w:pPr>
            <w:r>
              <w:rPr>
                <w:b w:val="false"/>
                <w:bCs w:val="false"/>
                <w:color w:val="1a2332"/>
                <w:sz w:val="19"/>
                <w:szCs w:val="19"/>
              </w:rPr>
              <w:t xml:space="preserve">crop images</w:t>
            </w:r>
          </w:p>
        </w:tc>
        <w:tc>
          <w:tcPr>
            <w:tcW w:type="dxa" w:w="4680"/>
            <w:tcMar>
              <w:top w:type="dxa" w:w="60"/>
              <w:left w:type="dxa" w:w="100"/>
              <w:bottom w:type="dxa" w:w="60"/>
              <w:right w:type="dxa" w:w="100"/>
            </w:tcMar>
          </w:tcPr>
          <w:p>
            <w:pPr>
              <w:spacing w:after="0"/>
            </w:pPr>
            <w:r>
              <w:rPr>
                <w:b w:val="false"/>
                <w:bCs w:val="false"/>
                <w:color w:val="1a2332"/>
                <w:sz w:val="19"/>
                <w:szCs w:val="19"/>
              </w:rPr>
              <w:t xml:space="preserve">727 (after junk purge from 743)</w:t>
            </w:r>
          </w:p>
        </w:tc>
      </w:tr>
      <w:tr>
        <w:tc>
          <w:tcPr>
            <w:tcW w:type="dxa" w:w="4680"/>
            <w:tcMar>
              <w:top w:type="dxa" w:w="60"/>
              <w:left w:type="dxa" w:w="100"/>
              <w:bottom w:type="dxa" w:w="60"/>
              <w:right w:type="dxa" w:w="100"/>
            </w:tcMar>
          </w:tcPr>
          <w:p>
            <w:pPr>
              <w:spacing w:after="0"/>
            </w:pPr>
            <w:r>
              <w:rPr>
                <w:b w:val="false"/>
                <w:bCs w:val="false"/>
                <w:color w:val="1a2332"/>
                <w:sz w:val="19"/>
                <w:szCs w:val="19"/>
              </w:rPr>
              <w:t xml:space="preserve">canonical ids</w:t>
            </w:r>
          </w:p>
        </w:tc>
        <w:tc>
          <w:tcPr>
            <w:tcW w:type="dxa" w:w="4680"/>
            <w:tcMar>
              <w:top w:type="dxa" w:w="60"/>
              <w:left w:type="dxa" w:w="100"/>
              <w:bottom w:type="dxa" w:w="60"/>
              <w:right w:type="dxa" w:w="100"/>
            </w:tcMar>
          </w:tcPr>
          <w:p>
            <w:pPr>
              <w:spacing w:after="0"/>
            </w:pPr>
            <w:r>
              <w:rPr>
                <w:b w:val="false"/>
                <w:bCs w:val="false"/>
                <w:color w:val="1a2332"/>
                <w:sz w:val="19"/>
                <w:szCs w:val="19"/>
              </w:rPr>
              <w:t xml:space="preserve">553</w:t>
            </w:r>
          </w:p>
        </w:tc>
      </w:tr>
      <w:tr>
        <w:tc>
          <w:tcPr>
            <w:tcW w:type="dxa" w:w="4680"/>
            <w:tcMar>
              <w:top w:type="dxa" w:w="60"/>
              <w:left w:type="dxa" w:w="100"/>
              <w:bottom w:type="dxa" w:w="60"/>
              <w:right w:type="dxa" w:w="100"/>
            </w:tcMar>
          </w:tcPr>
          <w:p>
            <w:pPr>
              <w:spacing w:after="0"/>
            </w:pPr>
            <w:r>
              <w:rPr>
                <w:b w:val="false"/>
                <w:bCs w:val="false"/>
                <w:color w:val="1a2332"/>
                <w:sz w:val="19"/>
                <w:szCs w:val="19"/>
              </w:rPr>
              <w:t xml:space="preserve">duplicates</w:t>
            </w:r>
          </w:p>
        </w:tc>
        <w:tc>
          <w:tcPr>
            <w:tcW w:type="dxa" w:w="4680"/>
            <w:tcMar>
              <w:top w:type="dxa" w:w="60"/>
              <w:left w:type="dxa" w:w="100"/>
              <w:bottom w:type="dxa" w:w="60"/>
              <w:right w:type="dxa" w:w="100"/>
            </w:tcMar>
          </w:tcPr>
          <w:p>
            <w:pPr>
              <w:spacing w:after="0"/>
            </w:pPr>
            <w:r>
              <w:rPr>
                <w:b w:val="false"/>
                <w:bCs w:val="false"/>
                <w:color w:val="1a2332"/>
                <w:sz w:val="19"/>
                <w:szCs w:val="19"/>
              </w:rPr>
              <w:t xml:space="preserve">0</w:t>
            </w:r>
          </w:p>
        </w:tc>
      </w:tr>
      <w:tr>
        <w:tc>
          <w:tcPr>
            <w:tcW w:type="dxa" w:w="4680"/>
            <w:tcMar>
              <w:top w:type="dxa" w:w="60"/>
              <w:left w:type="dxa" w:w="100"/>
              <w:bottom w:type="dxa" w:w="60"/>
              <w:right w:type="dxa" w:w="100"/>
            </w:tcMar>
          </w:tcPr>
          <w:p>
            <w:pPr>
              <w:spacing w:after="0"/>
            </w:pPr>
            <w:r>
              <w:rPr>
                <w:b w:val="false"/>
                <w:bCs w:val="false"/>
                <w:color w:val="1a2332"/>
                <w:sz w:val="19"/>
                <w:szCs w:val="19"/>
              </w:rPr>
              <w:t xml:space="preserve">previously-missing 11 figures</w:t>
            </w:r>
          </w:p>
        </w:tc>
        <w:tc>
          <w:tcPr>
            <w:tcW w:type="dxa" w:w="4680"/>
            <w:tcMar>
              <w:top w:type="dxa" w:w="60"/>
              <w:left w:type="dxa" w:w="100"/>
              <w:bottom w:type="dxa" w:w="60"/>
              <w:right w:type="dxa" w:w="100"/>
            </w:tcMar>
          </w:tcPr>
          <w:p>
            <w:pPr>
              <w:spacing w:after="0"/>
            </w:pPr>
            <w:r>
              <w:rPr>
                <w:b w:val="false"/>
                <w:bCs w:val="false"/>
                <w:color w:val="1a2332"/>
                <w:sz w:val="19"/>
                <w:szCs w:val="19"/>
              </w:rPr>
              <w:t xml:space="preserve">all confirmed extracted</w:t>
            </w:r>
          </w:p>
        </w:tc>
      </w:tr>
      <w:tr>
        <w:tc>
          <w:tcPr>
            <w:tcW w:type="dxa" w:w="4680"/>
            <w:tcMar>
              <w:top w:type="dxa" w:w="60"/>
              <w:left w:type="dxa" w:w="100"/>
              <w:bottom w:type="dxa" w:w="60"/>
              <w:right w:type="dxa" w:w="100"/>
            </w:tcMar>
          </w:tcPr>
          <w:p>
            <w:pPr>
              <w:spacing w:after="0"/>
            </w:pPr>
            <w:r>
              <w:rPr>
                <w:b w:val="false"/>
                <w:bCs w:val="false"/>
                <w:color w:val="1a2332"/>
                <w:sz w:val="19"/>
                <w:szCs w:val="19"/>
              </w:rPr>
              <w:t xml:space="preserve">external AASHTO refs (Table 3-1 / 3-3)</w:t>
            </w:r>
          </w:p>
        </w:tc>
        <w:tc>
          <w:tcPr>
            <w:tcW w:type="dxa" w:w="4680"/>
            <w:tcMar>
              <w:top w:type="dxa" w:w="60"/>
              <w:left w:type="dxa" w:w="100"/>
              <w:bottom w:type="dxa" w:w="60"/>
              <w:right w:type="dxa" w:w="100"/>
            </w:tcMar>
          </w:tcPr>
          <w:p>
            <w:pPr>
              <w:spacing w:after="0"/>
            </w:pPr>
            <w:r>
              <w:rPr>
                <w:b w:val="false"/>
                <w:bCs w:val="false"/>
                <w:color w:val="1a2332"/>
                <w:sz w:val="19"/>
                <w:szCs w:val="19"/>
              </w:rPr>
              <w:t xml:space="preserve">auto-excluded</w:t>
            </w:r>
          </w:p>
        </w:tc>
      </w:tr>
    </w:tbl>
    <w:p>
      <w:pPr>
        <w:pStyle w:val="Heading2"/>
        <w:spacing w:after="120" w:before="240"/>
      </w:pPr>
      <w:r>
        <w:rPr>
          <w:color w:val="31557a"/>
        </w:rPr>
        <w:t xml:space="preserve">14. The Router's Actual Rules</w:t>
      </w:r>
    </w:p>
    <w:p>
      <w:pPr>
        <w:spacing w:after="120"/>
      </w:pPr>
      <w:r>
        <w:rPr>
          <w:b w:val="false"/>
          <w:bCs w:val="false"/>
          <w:i w:val="false"/>
          <w:iCs w:val="false"/>
          <w:color w:val="1a2332"/>
          <w:sz w:val="21"/>
          <w:szCs w:val="21"/>
        </w:rPr>
        <w:t xml:space="preserve">mrag/question_router.py is fully deterministic, every fired rule logged into debug: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493"/>
        <w:gridCol w:w="2808"/>
      </w:tblGrid>
      <w:tr>
        <w:trPr>
          <w:tblHeader/>
        </w:trPr>
        <w:tc>
          <w:tcPr>
            <w:tcW w:type="dxa" w:w="2059"/>
            <w:shd w:fill="e8eef6" w:val="clear"/>
            <w:tcMar>
              <w:top w:type="dxa" w:w="60"/>
              <w:left w:type="dxa" w:w="100"/>
              <w:bottom w:type="dxa" w:w="60"/>
              <w:right w:type="dxa" w:w="100"/>
            </w:tcMar>
          </w:tcPr>
          <w:p>
            <w:pPr>
              <w:spacing w:after="0"/>
            </w:pPr>
            <w:r>
              <w:rPr>
                <w:b/>
                <w:bCs/>
                <w:color w:val="1a2332"/>
                <w:sz w:val="19"/>
                <w:szCs w:val="19"/>
              </w:rPr>
              <w:t xml:space="preserve">stage</w:t>
            </w:r>
          </w:p>
        </w:tc>
        <w:tc>
          <w:tcPr>
            <w:tcW w:type="dxa" w:w="4493"/>
            <w:shd w:fill="e8eef6" w:val="clear"/>
            <w:tcMar>
              <w:top w:type="dxa" w:w="60"/>
              <w:left w:type="dxa" w:w="100"/>
              <w:bottom w:type="dxa" w:w="60"/>
              <w:right w:type="dxa" w:w="100"/>
            </w:tcMar>
          </w:tcPr>
          <w:p>
            <w:pPr>
              <w:spacing w:after="0"/>
            </w:pPr>
            <w:r>
              <w:rPr>
                <w:b/>
                <w:bCs/>
                <w:color w:val="1a2332"/>
                <w:sz w:val="19"/>
                <w:szCs w:val="19"/>
              </w:rPr>
              <w:t xml:space="preserve">rule</w:t>
            </w:r>
          </w:p>
        </w:tc>
        <w:tc>
          <w:tcPr>
            <w:tcW w:type="dxa" w:w="2808"/>
            <w:shd w:fill="e8eef6" w:val="clear"/>
            <w:tcMar>
              <w:top w:type="dxa" w:w="60"/>
              <w:left w:type="dxa" w:w="100"/>
              <w:bottom w:type="dxa" w:w="60"/>
              <w:right w:type="dxa" w:w="100"/>
            </w:tcMar>
          </w:tcPr>
          <w:p>
            <w:pPr>
              <w:spacing w:after="0"/>
            </w:pPr>
            <w:r>
              <w:rPr>
                <w:b/>
                <w:bCs/>
                <w:color w:val="1a2332"/>
                <w:sz w:val="19"/>
                <w:szCs w:val="19"/>
              </w:rPr>
              <w:t xml:space="preserve">effect</w:t>
            </w:r>
          </w:p>
        </w:tc>
      </w:tr>
      <w:tr>
        <w:tc>
          <w:tcPr>
            <w:tcW w:type="dxa" w:w="2059"/>
            <w:tcMar>
              <w:top w:type="dxa" w:w="60"/>
              <w:left w:type="dxa" w:w="100"/>
              <w:bottom w:type="dxa" w:w="60"/>
              <w:right w:type="dxa" w:w="100"/>
            </w:tcMar>
          </w:tcPr>
          <w:p>
            <w:pPr>
              <w:spacing w:after="0"/>
            </w:pPr>
            <w:r>
              <w:rPr>
                <w:b w:val="false"/>
                <w:bCs w:val="false"/>
                <w:color w:val="1a2332"/>
                <w:sz w:val="19"/>
                <w:szCs w:val="19"/>
              </w:rPr>
              <w:t xml:space="preserve">1. hard-yes</w:t>
            </w:r>
          </w:p>
        </w:tc>
        <w:tc>
          <w:tcPr>
            <w:tcW w:type="dxa" w:w="4493"/>
            <w:tcMar>
              <w:top w:type="dxa" w:w="60"/>
              <w:left w:type="dxa" w:w="100"/>
              <w:bottom w:type="dxa" w:w="60"/>
              <w:right w:type="dxa" w:w="100"/>
            </w:tcMar>
          </w:tcPr>
          <w:p>
            <w:pPr>
              <w:spacing w:after="0"/>
            </w:pPr>
            <w:r>
              <w:rPr>
                <w:b w:val="false"/>
                <w:bCs w:val="false"/>
                <w:color w:val="1a2332"/>
                <w:sz w:val="19"/>
                <w:szCs w:val="19"/>
              </w:rPr>
              <w:t xml:space="preserve">explicit figure/table ids or visual verbs in the question</w:t>
            </w:r>
          </w:p>
        </w:tc>
        <w:tc>
          <w:tcPr>
            <w:tcW w:type="dxa" w:w="2808"/>
            <w:tcMar>
              <w:top w:type="dxa" w:w="60"/>
              <w:left w:type="dxa" w:w="100"/>
              <w:bottom w:type="dxa" w:w="60"/>
              <w:right w:type="dxa" w:w="100"/>
            </w:tcMar>
          </w:tcPr>
          <w:p>
            <w:pPr>
              <w:spacing w:after="0"/>
            </w:pPr>
            <w:r>
              <w:rPr>
                <w:b w:val="false"/>
                <w:bCs w:val="false"/>
                <w:color w:val="1a2332"/>
                <w:sz w:val="19"/>
                <w:szCs w:val="19"/>
              </w:rPr>
              <w:t xml:space="preserve">needs_figures = True immediately</w:t>
            </w:r>
          </w:p>
        </w:tc>
      </w:tr>
      <w:tr>
        <w:tc>
          <w:tcPr>
            <w:tcW w:type="dxa" w:w="2059"/>
            <w:tcMar>
              <w:top w:type="dxa" w:w="60"/>
              <w:left w:type="dxa" w:w="100"/>
              <w:bottom w:type="dxa" w:w="60"/>
              <w:right w:type="dxa" w:w="100"/>
            </w:tcMar>
          </w:tcPr>
          <w:p>
            <w:pPr>
              <w:spacing w:after="0"/>
            </w:pPr>
            <w:r>
              <w:rPr>
                <w:b w:val="false"/>
                <w:bCs w:val="false"/>
                <w:color w:val="1a2332"/>
                <w:sz w:val="19"/>
                <w:szCs w:val="19"/>
              </w:rPr>
              <w:t xml:space="preserve">2. hard-no</w:t>
            </w:r>
          </w:p>
        </w:tc>
        <w:tc>
          <w:tcPr>
            <w:tcW w:type="dxa" w:w="4493"/>
            <w:tcMar>
              <w:top w:type="dxa" w:w="60"/>
              <w:left w:type="dxa" w:w="100"/>
              <w:bottom w:type="dxa" w:w="60"/>
              <w:right w:type="dxa" w:w="100"/>
            </w:tcMar>
          </w:tcPr>
          <w:p>
            <w:pPr>
              <w:spacing w:after="0"/>
            </w:pPr>
            <w:r>
              <w:rPr>
                <w:b w:val="false"/>
                <w:bCs w:val="false"/>
                <w:color w:val="1a2332"/>
                <w:sz w:val="19"/>
                <w:szCs w:val="19"/>
              </w:rPr>
              <w:t xml:space="preserve">definitional patterns with no visual evidence terms</w:t>
            </w:r>
          </w:p>
        </w:tc>
        <w:tc>
          <w:tcPr>
            <w:tcW w:type="dxa" w:w="2808"/>
            <w:tcMar>
              <w:top w:type="dxa" w:w="60"/>
              <w:left w:type="dxa" w:w="100"/>
              <w:bottom w:type="dxa" w:w="60"/>
              <w:right w:type="dxa" w:w="100"/>
            </w:tcMar>
          </w:tcPr>
          <w:p>
            <w:pPr>
              <w:spacing w:after="0"/>
            </w:pPr>
            <w:r>
              <w:rPr>
                <w:b w:val="false"/>
                <w:bCs w:val="false"/>
                <w:color w:val="1a2332"/>
                <w:sz w:val="19"/>
                <w:szCs w:val="19"/>
              </w:rPr>
              <w:t xml:space="preserve">needs_figures = False immediately</w:t>
            </w:r>
          </w:p>
        </w:tc>
      </w:tr>
      <w:tr>
        <w:tc>
          <w:tcPr>
            <w:tcW w:type="dxa" w:w="2059"/>
            <w:tcMar>
              <w:top w:type="dxa" w:w="60"/>
              <w:left w:type="dxa" w:w="100"/>
              <w:bottom w:type="dxa" w:w="60"/>
              <w:right w:type="dxa" w:w="100"/>
            </w:tcMar>
          </w:tcPr>
          <w:p>
            <w:pPr>
              <w:spacing w:after="0"/>
            </w:pPr>
            <w:r>
              <w:rPr>
                <w:b w:val="false"/>
                <w:bCs w:val="false"/>
                <w:color w:val="1a2332"/>
                <w:sz w:val="19"/>
                <w:szCs w:val="19"/>
              </w:rPr>
              <w:t xml:space="preserve">3. soft score</w:t>
            </w:r>
          </w:p>
        </w:tc>
        <w:tc>
          <w:tcPr>
            <w:tcW w:type="dxa" w:w="4493"/>
            <w:tcMar>
              <w:top w:type="dxa" w:w="60"/>
              <w:left w:type="dxa" w:w="100"/>
              <w:bottom w:type="dxa" w:w="60"/>
              <w:right w:type="dxa" w:w="100"/>
            </w:tcMar>
          </w:tcPr>
          <w:p>
            <w:pPr>
              <w:spacing w:after="0"/>
            </w:pPr>
            <w:r>
              <w:rPr>
                <w:b w:val="false"/>
                <w:bCs w:val="false"/>
                <w:color w:val="1a2332"/>
                <w:sz w:val="19"/>
                <w:szCs w:val="19"/>
              </w:rPr>
              <w:t xml:space="preserve">sign codes</w:t>
            </w:r>
          </w:p>
        </w:tc>
        <w:tc>
          <w:tcPr>
            <w:tcW w:type="dxa" w:w="2808"/>
            <w:tcMar>
              <w:top w:type="dxa" w:w="60"/>
              <w:left w:type="dxa" w:w="100"/>
              <w:bottom w:type="dxa" w:w="60"/>
              <w:right w:type="dxa" w:w="100"/>
            </w:tcMar>
          </w:tcPr>
          <w:p>
            <w:pPr>
              <w:spacing w:after="0"/>
            </w:pPr>
            <w:r>
              <w:rPr>
                <w:b w:val="false"/>
                <w:bCs w:val="false"/>
                <w:color w:val="1a2332"/>
                <w:sz w:val="19"/>
                <w:szCs w:val="19"/>
              </w:rPr>
              <w:t xml:space="preserve">+0.45</w:t>
            </w:r>
          </w:p>
        </w:tc>
      </w:tr>
      <w:tr>
        <w:tc>
          <w:tcPr>
            <w:tcW w:type="dxa" w:w="2059"/>
            <w:tcMar>
              <w:top w:type="dxa" w:w="60"/>
              <w:left w:type="dxa" w:w="100"/>
              <w:bottom w:type="dxa" w:w="60"/>
              <w:right w:type="dxa" w:w="100"/>
            </w:tcMar>
          </w:tcPr>
          <w:p>
            <w:pPr>
              <w:spacing w:after="0"/>
            </w:pPr>
            <w:r>
              <w:rPr>
                <w:b w:val="false"/>
                <w:bCs w:val="false"/>
                <w:color w:val="1a2332"/>
                <w:sz w:val="19"/>
                <w:szCs w:val="19"/>
              </w:rPr>
              <w:t xml:space="preserve"/>
            </w:r>
          </w:p>
        </w:tc>
        <w:tc>
          <w:tcPr>
            <w:tcW w:type="dxa" w:w="4493"/>
            <w:tcMar>
              <w:top w:type="dxa" w:w="60"/>
              <w:left w:type="dxa" w:w="100"/>
              <w:bottom w:type="dxa" w:w="60"/>
              <w:right w:type="dxa" w:w="100"/>
            </w:tcMar>
          </w:tcPr>
          <w:p>
            <w:pPr>
              <w:spacing w:after="0"/>
            </w:pPr>
            <w:r>
              <w:rPr>
                <w:b w:val="false"/>
                <w:bCs w:val="false"/>
                <w:color w:val="1a2332"/>
                <w:sz w:val="19"/>
                <w:szCs w:val="19"/>
              </w:rPr>
              <w:t xml:space="preserve">visual nouns</w:t>
            </w:r>
          </w:p>
        </w:tc>
        <w:tc>
          <w:tcPr>
            <w:tcW w:type="dxa" w:w="2808"/>
            <w:tcMar>
              <w:top w:type="dxa" w:w="60"/>
              <w:left w:type="dxa" w:w="100"/>
              <w:bottom w:type="dxa" w:w="60"/>
              <w:right w:type="dxa" w:w="100"/>
            </w:tcMar>
          </w:tcPr>
          <w:p>
            <w:pPr>
              <w:spacing w:after="0"/>
            </w:pPr>
            <w:r>
              <w:rPr>
                <w:b w:val="false"/>
                <w:bCs w:val="false"/>
                <w:color w:val="1a2332"/>
                <w:sz w:val="19"/>
                <w:szCs w:val="19"/>
              </w:rPr>
              <w:t xml:space="preserve">+0.30</w:t>
            </w:r>
          </w:p>
        </w:tc>
      </w:tr>
      <w:tr>
        <w:tc>
          <w:tcPr>
            <w:tcW w:type="dxa" w:w="2059"/>
            <w:tcMar>
              <w:top w:type="dxa" w:w="60"/>
              <w:left w:type="dxa" w:w="100"/>
              <w:bottom w:type="dxa" w:w="60"/>
              <w:right w:type="dxa" w:w="100"/>
            </w:tcMar>
          </w:tcPr>
          <w:p>
            <w:pPr>
              <w:spacing w:after="0"/>
            </w:pPr>
            <w:r>
              <w:rPr>
                <w:b w:val="false"/>
                <w:bCs w:val="false"/>
                <w:color w:val="1a2332"/>
                <w:sz w:val="19"/>
                <w:szCs w:val="19"/>
              </w:rPr>
              <w:t xml:space="preserve"/>
            </w:r>
          </w:p>
        </w:tc>
        <w:tc>
          <w:tcPr>
            <w:tcW w:type="dxa" w:w="4493"/>
            <w:tcMar>
              <w:top w:type="dxa" w:w="60"/>
              <w:left w:type="dxa" w:w="100"/>
              <w:bottom w:type="dxa" w:w="60"/>
              <w:right w:type="dxa" w:w="100"/>
            </w:tcMar>
          </w:tcPr>
          <w:p>
            <w:pPr>
              <w:spacing w:after="0"/>
            </w:pPr>
            <w:r>
              <w:rPr>
                <w:b w:val="false"/>
                <w:bCs w:val="false"/>
                <w:color w:val="1a2332"/>
                <w:sz w:val="19"/>
                <w:szCs w:val="19"/>
              </w:rPr>
              <w:t xml:space="preserve">placement terms</w:t>
            </w:r>
          </w:p>
        </w:tc>
        <w:tc>
          <w:tcPr>
            <w:tcW w:type="dxa" w:w="2808"/>
            <w:tcMar>
              <w:top w:type="dxa" w:w="60"/>
              <w:left w:type="dxa" w:w="100"/>
              <w:bottom w:type="dxa" w:w="60"/>
              <w:right w:type="dxa" w:w="100"/>
            </w:tcMar>
          </w:tcPr>
          <w:p>
            <w:pPr>
              <w:spacing w:after="0"/>
            </w:pPr>
            <w:r>
              <w:rPr>
                <w:b w:val="false"/>
                <w:bCs w:val="false"/>
                <w:color w:val="1a2332"/>
                <w:sz w:val="19"/>
                <w:szCs w:val="19"/>
              </w:rPr>
              <w:t xml:space="preserve">+0.15</w:t>
            </w:r>
          </w:p>
        </w:tc>
      </w:tr>
      <w:tr>
        <w:tc>
          <w:tcPr>
            <w:tcW w:type="dxa" w:w="2059"/>
            <w:tcMar>
              <w:top w:type="dxa" w:w="60"/>
              <w:left w:type="dxa" w:w="100"/>
              <w:bottom w:type="dxa" w:w="60"/>
              <w:right w:type="dxa" w:w="100"/>
            </w:tcMar>
          </w:tcPr>
          <w:p>
            <w:pPr>
              <w:spacing w:after="0"/>
            </w:pPr>
            <w:r>
              <w:rPr>
                <w:b w:val="false"/>
                <w:bCs w:val="false"/>
                <w:color w:val="1a2332"/>
                <w:sz w:val="19"/>
                <w:szCs w:val="19"/>
              </w:rPr>
              <w:t xml:space="preserve"/>
            </w:r>
          </w:p>
        </w:tc>
        <w:tc>
          <w:tcPr>
            <w:tcW w:type="dxa" w:w="4493"/>
            <w:tcMar>
              <w:top w:type="dxa" w:w="60"/>
              <w:left w:type="dxa" w:w="100"/>
              <w:bottom w:type="dxa" w:w="60"/>
              <w:right w:type="dxa" w:w="100"/>
            </w:tcMar>
          </w:tcPr>
          <w:p>
            <w:pPr>
              <w:spacing w:after="0"/>
            </w:pPr>
            <w:r>
              <w:rPr>
                <w:b w:val="false"/>
                <w:bCs w:val="false"/>
                <w:color w:val="1a2332"/>
                <w:sz w:val="19"/>
                <w:szCs w:val="19"/>
              </w:rPr>
              <w:t xml:space="preserve">textual markers</w:t>
            </w:r>
          </w:p>
        </w:tc>
        <w:tc>
          <w:tcPr>
            <w:tcW w:type="dxa" w:w="2808"/>
            <w:tcMar>
              <w:top w:type="dxa" w:w="60"/>
              <w:left w:type="dxa" w:w="100"/>
              <w:bottom w:type="dxa" w:w="60"/>
              <w:right w:type="dxa" w:w="100"/>
            </w:tcMar>
          </w:tcPr>
          <w:p>
            <w:pPr>
              <w:spacing w:after="0"/>
            </w:pPr>
            <w:r>
              <w:rPr>
                <w:b w:val="false"/>
                <w:bCs w:val="false"/>
                <w:color w:val="1a2332"/>
                <w:sz w:val="19"/>
                <w:szCs w:val="19"/>
              </w:rPr>
              <w:t xml:space="preserve">−0.35</w:t>
            </w:r>
          </w:p>
        </w:tc>
      </w:tr>
      <w:tr>
        <w:tc>
          <w:tcPr>
            <w:tcW w:type="dxa" w:w="2059"/>
            <w:tcMar>
              <w:top w:type="dxa" w:w="60"/>
              <w:left w:type="dxa" w:w="100"/>
              <w:bottom w:type="dxa" w:w="60"/>
              <w:right w:type="dxa" w:w="100"/>
            </w:tcMar>
          </w:tcPr>
          <w:p>
            <w:pPr>
              <w:spacing w:after="0"/>
            </w:pPr>
            <w:r>
              <w:rPr>
                <w:b w:val="false"/>
                <w:bCs w:val="false"/>
                <w:color w:val="1a2332"/>
                <w:sz w:val="19"/>
                <w:szCs w:val="19"/>
              </w:rPr>
              <w:t xml:space="preserve"/>
            </w:r>
          </w:p>
        </w:tc>
        <w:tc>
          <w:tcPr>
            <w:tcW w:type="dxa" w:w="4493"/>
            <w:tcMar>
              <w:top w:type="dxa" w:w="60"/>
              <w:left w:type="dxa" w:w="100"/>
              <w:bottom w:type="dxa" w:w="60"/>
              <w:right w:type="dxa" w:w="100"/>
            </w:tcMar>
          </w:tcPr>
          <w:p>
            <w:pPr>
              <w:spacing w:after="0"/>
            </w:pPr>
            <w:r>
              <w:rPr>
                <w:b w:val="false"/>
                <w:bCs w:val="false"/>
                <w:color w:val="1a2332"/>
                <w:sz w:val="19"/>
                <w:szCs w:val="19"/>
              </w:rPr>
              <w:t xml:space="preserve">KG prior: fraction of matched sections that cite figures</w:t>
            </w:r>
          </w:p>
        </w:tc>
        <w:tc>
          <w:tcPr>
            <w:tcW w:type="dxa" w:w="2808"/>
            <w:tcMar>
              <w:top w:type="dxa" w:w="60"/>
              <w:left w:type="dxa" w:w="100"/>
              <w:bottom w:type="dxa" w:w="60"/>
              <w:right w:type="dxa" w:w="100"/>
            </w:tcMar>
          </w:tcPr>
          <w:p>
            <w:pPr>
              <w:spacing w:after="0"/>
            </w:pPr>
            <w:r>
              <w:rPr>
                <w:b w:val="false"/>
                <w:bCs w:val="false"/>
                <w:color w:val="1a2332"/>
                <w:sz w:val="19"/>
                <w:szCs w:val="19"/>
              </w:rPr>
              <w:t xml:space="preserve">+0.35 × frac</w:t>
            </w:r>
          </w:p>
        </w:tc>
      </w:tr>
      <w:tr>
        <w:tc>
          <w:tcPr>
            <w:tcW w:type="dxa" w:w="2059"/>
            <w:tcMar>
              <w:top w:type="dxa" w:w="60"/>
              <w:left w:type="dxa" w:w="100"/>
              <w:bottom w:type="dxa" w:w="60"/>
              <w:right w:type="dxa" w:w="100"/>
            </w:tcMar>
          </w:tcPr>
          <w:p>
            <w:pPr>
              <w:spacing w:after="0"/>
            </w:pPr>
            <w:r>
              <w:rPr>
                <w:b w:val="false"/>
                <w:bCs w:val="false"/>
                <w:color w:val="1a2332"/>
                <w:sz w:val="19"/>
                <w:szCs w:val="19"/>
              </w:rPr>
              <w:t xml:space="preserve">decision</w:t>
            </w:r>
          </w:p>
        </w:tc>
        <w:tc>
          <w:tcPr>
            <w:tcW w:type="dxa" w:w="4493"/>
            <w:tcMar>
              <w:top w:type="dxa" w:w="60"/>
              <w:left w:type="dxa" w:w="100"/>
              <w:bottom w:type="dxa" w:w="60"/>
              <w:right w:type="dxa" w:w="100"/>
            </w:tcMar>
          </w:tcPr>
          <w:p>
            <w:pPr>
              <w:spacing w:after="0"/>
            </w:pPr>
            <w:r>
              <w:rPr>
                <w:b w:val="false"/>
                <w:bCs w:val="false"/>
                <w:color w:val="1a2332"/>
                <w:sz w:val="19"/>
                <w:szCs w:val="19"/>
              </w:rPr>
              <w:t xml:space="preserve">score vs threshold</w:t>
            </w:r>
          </w:p>
        </w:tc>
        <w:tc>
          <w:tcPr>
            <w:tcW w:type="dxa" w:w="2808"/>
            <w:tcMar>
              <w:top w:type="dxa" w:w="60"/>
              <w:left w:type="dxa" w:w="100"/>
              <w:bottom w:type="dxa" w:w="60"/>
              <w:right w:type="dxa" w:w="100"/>
            </w:tcMar>
          </w:tcPr>
          <w:p>
            <w:pPr>
              <w:spacing w:after="0"/>
            </w:pPr>
            <w:r>
              <w:rPr>
                <w:b w:val="false"/>
                <w:bCs w:val="false"/>
                <w:color w:val="1a2332"/>
                <w:sz w:val="19"/>
                <w:szCs w:val="19"/>
              </w:rPr>
              <w:t xml:space="preserve">0.5</w:t>
            </w:r>
          </w:p>
        </w:tc>
      </w:tr>
      <w:tr>
        <w:tc>
          <w:tcPr>
            <w:tcW w:type="dxa" w:w="2059"/>
            <w:tcMar>
              <w:top w:type="dxa" w:w="60"/>
              <w:left w:type="dxa" w:w="100"/>
              <w:bottom w:type="dxa" w:w="60"/>
              <w:right w:type="dxa" w:w="100"/>
            </w:tcMar>
          </w:tcPr>
          <w:p>
            <w:pPr>
              <w:spacing w:after="0"/>
            </w:pPr>
            <w:r>
              <w:rPr>
                <w:b w:val="false"/>
                <w:bCs w:val="false"/>
                <w:color w:val="1a2332"/>
                <w:sz w:val="19"/>
                <w:szCs w:val="19"/>
              </w:rPr>
              <w:t xml:space="preserve">optional</w:t>
            </w:r>
          </w:p>
        </w:tc>
        <w:tc>
          <w:tcPr>
            <w:tcW w:type="dxa" w:w="4493"/>
            <w:tcMar>
              <w:top w:type="dxa" w:w="60"/>
              <w:left w:type="dxa" w:w="100"/>
              <w:bottom w:type="dxa" w:w="60"/>
              <w:right w:type="dxa" w:w="100"/>
            </w:tcMar>
          </w:tcPr>
          <w:p>
            <w:pPr>
              <w:spacing w:after="0"/>
            </w:pPr>
            <w:r>
              <w:rPr>
                <w:b w:val="false"/>
                <w:bCs w:val="false"/>
                <w:color w:val="1a2332"/>
                <w:sz w:val="19"/>
                <w:szCs w:val="19"/>
              </w:rPr>
              <w:t xml:space="preserve">VLM tie-break</w:t>
            </w:r>
          </w:p>
        </w:tc>
        <w:tc>
          <w:tcPr>
            <w:tcW w:type="dxa" w:w="2808"/>
            <w:tcMar>
              <w:top w:type="dxa" w:w="60"/>
              <w:left w:type="dxa" w:w="100"/>
              <w:bottom w:type="dxa" w:w="60"/>
              <w:right w:type="dxa" w:w="100"/>
            </w:tcMar>
          </w:tcPr>
          <w:p>
            <w:pPr>
              <w:spacing w:after="0"/>
            </w:pPr>
            <w:r>
              <w:rPr>
                <w:b w:val="false"/>
                <w:bCs w:val="false"/>
                <w:color w:val="1a2332"/>
                <w:sz w:val="19"/>
                <w:szCs w:val="19"/>
              </w:rPr>
              <w:t xml:space="preserve">off by default</w:t>
            </w:r>
          </w:p>
        </w:tc>
      </w:tr>
    </w:tbl>
    <w:p>
      <w:pPr>
        <w:pStyle w:val="Heading2"/>
        <w:spacing w:after="120" w:before="240"/>
      </w:pPr>
      <w:r>
        <w:rPr>
          <w:color w:val="31557a"/>
        </w:rPr>
        <w:t xml:space="preserve">15. Where the Outputs 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e8eef6" w:val="clear"/>
            <w:tcMar>
              <w:top w:type="dxa" w:w="60"/>
              <w:left w:type="dxa" w:w="100"/>
              <w:bottom w:type="dxa" w:w="60"/>
              <w:right w:type="dxa" w:w="100"/>
            </w:tcMar>
          </w:tcPr>
          <w:p>
            <w:pPr>
              <w:spacing w:after="0"/>
            </w:pPr>
            <w:r>
              <w:rPr>
                <w:b/>
                <w:bCs/>
                <w:color w:val="1a2332"/>
                <w:sz w:val="19"/>
                <w:szCs w:val="19"/>
              </w:rPr>
              <w:t xml:space="preserve">location</w:t>
            </w:r>
          </w:p>
        </w:tc>
        <w:tc>
          <w:tcPr>
            <w:tcW w:type="dxa" w:w="6552"/>
            <w:shd w:fill="e8eef6" w:val="clear"/>
            <w:tcMar>
              <w:top w:type="dxa" w:w="60"/>
              <w:left w:type="dxa" w:w="100"/>
              <w:bottom w:type="dxa" w:w="60"/>
              <w:right w:type="dxa" w:w="100"/>
            </w:tcMar>
          </w:tcPr>
          <w:p>
            <w:pPr>
              <w:spacing w:after="0"/>
            </w:pPr>
            <w:r>
              <w:rPr>
                <w:b/>
                <w:bCs/>
                <w:color w:val="1a2332"/>
                <w:sz w:val="19"/>
                <w:szCs w:val="19"/>
              </w:rPr>
              <w:t xml:space="preserve">contents</w:t>
            </w:r>
          </w:p>
        </w:tc>
      </w:tr>
      <w:tr>
        <w:tc>
          <w:tcPr>
            <w:tcW w:type="dxa" w:w="2808"/>
            <w:tcMar>
              <w:top w:type="dxa" w:w="60"/>
              <w:left w:type="dxa" w:w="100"/>
              <w:bottom w:type="dxa" w:w="60"/>
              <w:right w:type="dxa" w:w="100"/>
            </w:tcMar>
          </w:tcPr>
          <w:p>
            <w:pPr>
              <w:spacing w:after="0"/>
            </w:pPr>
            <w:r>
              <w:rPr>
                <w:b w:val="false"/>
                <w:bCs w:val="false"/>
                <w:color w:val="1a2332"/>
                <w:sz w:val="19"/>
                <w:szCs w:val="19"/>
              </w:rPr>
              <w:t xml:space="preserve">mmrag_cache_v3/ (Drive)</w:t>
            </w:r>
          </w:p>
        </w:tc>
        <w:tc>
          <w:tcPr>
            <w:tcW w:type="dxa" w:w="6552"/>
            <w:tcMar>
              <w:top w:type="dxa" w:w="60"/>
              <w:left w:type="dxa" w:w="100"/>
              <w:bottom w:type="dxa" w:w="60"/>
              <w:right w:type="dxa" w:w="100"/>
            </w:tcMar>
          </w:tcPr>
          <w:p>
            <w:pPr>
              <w:spacing w:after="0"/>
            </w:pPr>
            <w:r>
              <w:rPr>
                <w:b w:val="false"/>
                <w:bCs w:val="false"/>
                <w:color w:val="1a2332"/>
                <w:sz w:val="19"/>
                <w:szCs w:val="19"/>
              </w:rPr>
              <w:t xml:space="preserve">chunks.jsonl (the 5,705 parsed chunks), figures.jsonl (crop metadata and bounding boxes), graph.gpickle (the KG), sign_codes.json, embedding caches: chunks_dense.npy, chunks_sparse.json, figures_dense.npy, per-figure ColQwen2 vectors under colqwen_figures/&lt;id&gt;.npy</w:t>
            </w:r>
          </w:p>
        </w:tc>
      </w:tr>
      <w:tr>
        <w:tc>
          <w:tcPr>
            <w:tcW w:type="dxa" w:w="2808"/>
            <w:tcMar>
              <w:top w:type="dxa" w:w="60"/>
              <w:left w:type="dxa" w:w="100"/>
              <w:bottom w:type="dxa" w:w="60"/>
              <w:right w:type="dxa" w:w="100"/>
            </w:tcMar>
          </w:tcPr>
          <w:p>
            <w:pPr>
              <w:spacing w:after="0"/>
            </w:pPr>
            <w:r>
              <w:rPr>
                <w:b w:val="false"/>
                <w:bCs w:val="false"/>
                <w:color w:val="1a2332"/>
                <w:sz w:val="19"/>
                <w:szCs w:val="19"/>
              </w:rPr>
              <w:t xml:space="preserve">figures/ (Drive)</w:t>
            </w:r>
          </w:p>
        </w:tc>
        <w:tc>
          <w:tcPr>
            <w:tcW w:type="dxa" w:w="6552"/>
            <w:tcMar>
              <w:top w:type="dxa" w:w="60"/>
              <w:left w:type="dxa" w:w="100"/>
              <w:bottom w:type="dxa" w:w="60"/>
              <w:right w:type="dxa" w:w="100"/>
            </w:tcMar>
          </w:tcPr>
          <w:p>
            <w:pPr>
              <w:spacing w:after="0"/>
            </w:pPr>
            <w:r>
              <w:rPr>
                <w:b w:val="false"/>
                <w:bCs w:val="false"/>
                <w:color w:val="1a2332"/>
                <w:sz w:val="19"/>
                <w:szCs w:val="19"/>
              </w:rPr>
              <w:t xml:space="preserve">crop PNGs</w:t>
            </w:r>
          </w:p>
        </w:tc>
      </w:tr>
      <w:tr>
        <w:tc>
          <w:tcPr>
            <w:tcW w:type="dxa" w:w="2808"/>
            <w:tcMar>
              <w:top w:type="dxa" w:w="60"/>
              <w:left w:type="dxa" w:w="100"/>
              <w:bottom w:type="dxa" w:w="60"/>
              <w:right w:type="dxa" w:w="100"/>
            </w:tcMar>
          </w:tcPr>
          <w:p>
            <w:pPr>
              <w:spacing w:after="0"/>
            </w:pPr>
            <w:r>
              <w:rPr>
                <w:b w:val="false"/>
                <w:bCs w:val="false"/>
                <w:color w:val="1a2332"/>
                <w:sz w:val="19"/>
                <w:szCs w:val="19"/>
              </w:rPr>
              <w:t xml:space="preserve">page_images/ (Drive)</w:t>
            </w:r>
          </w:p>
        </w:tc>
        <w:tc>
          <w:tcPr>
            <w:tcW w:type="dxa" w:w="6552"/>
            <w:tcMar>
              <w:top w:type="dxa" w:w="60"/>
              <w:left w:type="dxa" w:w="100"/>
              <w:bottom w:type="dxa" w:w="60"/>
              <w:right w:type="dxa" w:w="100"/>
            </w:tcMar>
          </w:tcPr>
          <w:p>
            <w:pPr>
              <w:spacing w:after="0"/>
            </w:pPr>
            <w:r>
              <w:rPr>
                <w:b w:val="false"/>
                <w:bCs w:val="false"/>
                <w:color w:val="1a2332"/>
                <w:sz w:val="19"/>
                <w:szCs w:val="19"/>
              </w:rPr>
              <w:t xml:space="preserve">full-page renders</w:t>
            </w:r>
          </w:p>
        </w:tc>
      </w:tr>
      <w:tr>
        <w:tc>
          <w:tcPr>
            <w:tcW w:type="dxa" w:w="2808"/>
            <w:tcMar>
              <w:top w:type="dxa" w:w="60"/>
              <w:left w:type="dxa" w:w="100"/>
              <w:bottom w:type="dxa" w:w="60"/>
              <w:right w:type="dxa" w:w="100"/>
            </w:tcMar>
          </w:tcPr>
          <w:p>
            <w:pPr>
              <w:spacing w:after="0"/>
            </w:pPr>
            <w:r>
              <w:rPr>
                <w:b w:val="false"/>
                <w:bCs w:val="false"/>
                <w:color w:val="1a2332"/>
                <w:sz w:val="19"/>
                <w:szCs w:val="19"/>
              </w:rPr>
              <w:t xml:space="preserve">qdrant_db.tar (Drive)</w:t>
            </w:r>
          </w:p>
        </w:tc>
        <w:tc>
          <w:tcPr>
            <w:tcW w:type="dxa" w:w="6552"/>
            <w:tcMar>
              <w:top w:type="dxa" w:w="60"/>
              <w:left w:type="dxa" w:w="100"/>
              <w:bottom w:type="dxa" w:w="60"/>
              <w:right w:type="dxa" w:w="100"/>
            </w:tcMar>
          </w:tcPr>
          <w:p>
            <w:pPr>
              <w:spacing w:after="0"/>
            </w:pPr>
            <w:r>
              <w:rPr>
                <w:b w:val="false"/>
                <w:bCs w:val="false"/>
                <w:color w:val="1a2332"/>
                <w:sz w:val="19"/>
                <w:szCs w:val="19"/>
              </w:rPr>
              <w:t xml:space="preserve">snapshot of the populated vector store — extracted into /content/qdrant_db each Colab session</w:t>
            </w:r>
          </w:p>
        </w:tc>
      </w:tr>
      <w:tr>
        <w:tc>
          <w:tcPr>
            <w:tcW w:type="dxa" w:w="2808"/>
            <w:tcMar>
              <w:top w:type="dxa" w:w="60"/>
              <w:left w:type="dxa" w:w="100"/>
              <w:bottom w:type="dxa" w:w="60"/>
              <w:right w:type="dxa" w:w="100"/>
            </w:tcMar>
          </w:tcPr>
          <w:p>
            <w:pPr>
              <w:spacing w:after="0"/>
            </w:pPr>
            <w:r>
              <w:rPr>
                <w:b w:val="false"/>
                <w:bCs w:val="false"/>
                <w:color w:val="1a2332"/>
                <w:sz w:val="19"/>
                <w:szCs w:val="19"/>
              </w:rPr>
              <w:t xml:space="preserve">validation/ (repo)</w:t>
            </w:r>
          </w:p>
        </w:tc>
        <w:tc>
          <w:tcPr>
            <w:tcW w:type="dxa" w:w="6552"/>
            <w:tcMar>
              <w:top w:type="dxa" w:w="60"/>
              <w:left w:type="dxa" w:w="100"/>
              <w:bottom w:type="dxa" w:w="60"/>
              <w:right w:type="dxa" w:w="100"/>
            </w:tcMar>
          </w:tcPr>
          <w:p>
            <w:pPr>
              <w:spacing w:after="0"/>
            </w:pPr>
            <w:r>
              <w:rPr>
                <w:b w:val="false"/>
                <w:bCs w:val="false"/>
                <w:color w:val="1a2332"/>
                <w:sz w:val="19"/>
                <w:szCs w:val="19"/>
              </w:rPr>
              <w:t xml:space="preserve">census_records.jsonl (all 727 bounding boxes), coverage_report.json</w:t>
            </w:r>
          </w:p>
        </w:tc>
      </w:tr>
      <w:tr>
        <w:tc>
          <w:tcPr>
            <w:tcW w:type="dxa" w:w="2808"/>
            <w:tcMar>
              <w:top w:type="dxa" w:w="60"/>
              <w:left w:type="dxa" w:w="100"/>
              <w:bottom w:type="dxa" w:w="60"/>
              <w:right w:type="dxa" w:w="100"/>
            </w:tcMar>
          </w:tcPr>
          <w:p>
            <w:pPr>
              <w:spacing w:after="0"/>
            </w:pPr>
            <w:r>
              <w:rPr>
                <w:b w:val="false"/>
                <w:bCs w:val="false"/>
                <w:color w:val="1a2332"/>
                <w:sz w:val="19"/>
                <w:szCs w:val="19"/>
              </w:rPr>
              <w:t xml:space="preserve">docs/REBUILD_V4.md (repo)</w:t>
            </w:r>
          </w:p>
        </w:tc>
        <w:tc>
          <w:tcPr>
            <w:tcW w:type="dxa" w:w="6552"/>
            <w:tcMar>
              <w:top w:type="dxa" w:w="60"/>
              <w:left w:type="dxa" w:w="100"/>
              <w:bottom w:type="dxa" w:w="60"/>
              <w:right w:type="dxa" w:w="100"/>
            </w:tcMar>
          </w:tcPr>
          <w:p>
            <w:pPr>
              <w:spacing w:after="0"/>
            </w:pPr>
            <w:r>
              <w:rPr>
                <w:b w:val="false"/>
                <w:bCs w:val="false"/>
                <w:color w:val="1a2332"/>
                <w:sz w:val="19"/>
                <w:szCs w:val="19"/>
              </w:rPr>
              <w:t xml:space="preserve">the v4 rebuild documentation</w:t>
            </w:r>
          </w:p>
        </w:tc>
      </w:tr>
    </w:tbl>
    <w:p>
      <w:pPr>
        <w:shd w:fill="fdf1e3" w:val="clear"/>
        <w:spacing w:after="160" w:before="120"/>
      </w:pPr>
      <w:r>
        <w:rPr>
          <w:i/>
          <w:iCs/>
          <w:color w:val="1a2332"/>
          <w:sz w:val="20"/>
          <w:szCs w:val="20"/>
        </w:rPr>
        <w:t xml:space="preserve">Snapshot rule (recorded lesson): a working restore needs both the Qdrant tar and the mmrag_cache_v3/ folder — one without the other fails with FileNotFoundError or “Collection not found”.</w:t>
      </w:r>
    </w:p>
    <w:p>
      <w:pPr>
        <w:shd w:fill="fdf1e3" w:val="clear"/>
        <w:spacing w:after="160" w:before="120"/>
      </w:pPr>
      <w:r>
        <w:rPr>
          <w:i/>
          <w:iCs/>
          <w:color w:val="1a2332"/>
          <w:sz w:val="20"/>
          <w:szCs w:val="20"/>
        </w:rPr>
        <w:t xml:space="preserve">Cache-invalidation rule (recorded lesson): per-figure embedding caches are keyed by id (colqwen_figures/&lt;id&gt;.npy) and go stale silently when the underlying crop images change with ids unchanged — any figure re-extraction must delete the visual cache directory, and a chunk re-parse must also invalidate chunks_dense.npy / chunks_sparse.json.</w:t>
      </w:r>
    </w:p>
    <w:p>
      <w:pPr>
        <w:pStyle w:val="Heading2"/>
        <w:spacing w:after="120" w:before="240"/>
      </w:pPr>
      <w:r>
        <w:rPr>
          <w:color w:val="31557a"/>
        </w:rPr>
        <w:t xml:space="preserve">16. Paper-Facing Honesty Notes</w:t>
      </w:r>
    </w:p>
    <w:p>
      <w:pPr>
        <w:pStyle w:val="ListParagraph"/>
        <w:numPr>
          <w:ilvl w:val="0"/>
          <w:numId w:val="7"/>
        </w:numPr>
        <w:spacing w:after="80"/>
      </w:pPr>
      <w:r>
        <w:rPr>
          <w:b/>
          <w:bCs/>
          <w:color w:val="1a2332"/>
          <w:sz w:val="21"/>
          <w:szCs w:val="21"/>
        </w:rPr>
        <w:t xml:space="preserve">Graph re-scores, does not expand </w:t>
      </w:r>
      <w:r>
        <w:rPr>
          <w:color w:val="1a2332"/>
          <w:sz w:val="21"/>
          <w:szCs w:val="21"/>
        </w:rPr>
        <w:t xml:space="preserve">(LE22): the retrieval step-3 “graph expansion” is a stub — w_graph re-scores dense candidates only. Phrase graph claims as re-ranking, never retrieval expansion.</w:t>
      </w:r>
    </w:p>
    <w:p>
      <w:pPr>
        <w:pStyle w:val="ListParagraph"/>
        <w:numPr>
          <w:ilvl w:val="0"/>
          <w:numId w:val="7"/>
        </w:numPr>
        <w:spacing w:after="80"/>
      </w:pPr>
      <w:r>
        <w:rPr>
          <w:b/>
          <w:bCs/>
          <w:color w:val="1a2332"/>
          <w:sz w:val="21"/>
          <w:szCs w:val="21"/>
        </w:rPr>
        <w:t xml:space="preserve">Prompts have exactly one source of truth: </w:t>
      </w:r>
      <w:r>
        <w:rPr>
          <w:color w:val="1a2332"/>
          <w:sz w:val="21"/>
          <w:szCs w:val="21"/>
        </w:rPr>
        <w:t xml:space="preserve">mrag/vlm.py. P1 = answer prompt (CFG.prompt_style_answer), P2 = figure filter (CFG.prompt_style_filter, zeroshot only).</w:t>
      </w:r>
    </w:p>
    <w:p>
      <w:pPr>
        <w:pStyle w:val="ListParagraph"/>
        <w:numPr>
          <w:ilvl w:val="0"/>
          <w:numId w:val="7"/>
        </w:numPr>
        <w:spacing w:after="80"/>
      </w:pPr>
      <w:r>
        <w:rPr>
          <w:b/>
          <w:bCs/>
          <w:color w:val="1a2332"/>
          <w:sz w:val="21"/>
          <w:szCs w:val="21"/>
        </w:rPr>
        <w:t xml:space="preserve">Context precision sits below 50% </w:t>
      </w:r>
      <w:r>
        <w:rPr>
          <w:color w:val="1a2332"/>
          <w:sz w:val="21"/>
          <w:szCs w:val="21"/>
        </w:rPr>
        <w:t xml:space="preserve">because the sparse retrieval leg is degraded — the recorded open fix paths are pinning FlagEmbedding, patching the dtype kwarg, or swapping the embedder.</w:t>
      </w:r>
    </w:p>
    <w:p>
      <w:pPr>
        <w:pStyle w:val="ListParagraph"/>
        <w:numPr>
          <w:ilvl w:val="0"/>
          <w:numId w:val="7"/>
        </w:numPr>
        <w:spacing w:after="80"/>
      </w:pPr>
      <w:r>
        <w:rPr>
          <w:b/>
          <w:bCs/>
          <w:color w:val="1a2332"/>
          <w:sz w:val="21"/>
          <w:szCs w:val="21"/>
        </w:rPr>
        <w:t xml:space="preserve">Must-keep implementation details for the paper: </w:t>
      </w:r>
      <w:r>
        <w:rPr>
          <w:color w:val="1a2332"/>
          <w:sz w:val="21"/>
          <w:szCs w:val="21"/>
        </w:rPr>
        <w:t xml:space="preserve">the caption-anchored crop-below method with the 485/485 census validation, and the LE22 caveat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300"/>
      </w:pPr>
    </w:lvl>
  </w:abstractNum>
  <w:abstractNum w:abstractNumId="3" w15:restartNumberingAfterBreak="0">
    <w:multiLevelType w:val="hybridMultilevel"/>
    <w:lvl w:ilvl="0" w15:tentative="1">
      <w:start w:val="1"/>
      <w:numFmt w:val="decimal"/>
      <w:lvlText w:val="%1."/>
      <w:lvlJc w:val="start"/>
      <w:pPr>
        <w:ind w:left="480" w:hanging="300"/>
      </w:pPr>
    </w:lvl>
  </w:abstractNum>
  <w:abstractNum w:abstractNumId="4" w15:restartNumberingAfterBreak="0">
    <w:multiLevelType w:val="hybridMultilevel"/>
    <w:lvl w:ilvl="0" w15:tentative="1">
      <w:start w:val="1"/>
      <w:numFmt w:val="decimal"/>
      <w:lvlText w:val="%1."/>
      <w:lvlJc w:val="start"/>
      <w:pPr>
        <w:ind w:left="480" w:hanging="300"/>
      </w:pPr>
    </w:lvl>
  </w:abstractNum>
  <w:abstractNum w:abstractNumId="5" w15:restartNumberingAfterBreak="0">
    <w:multiLevelType w:val="hybridMultilevel"/>
    <w:lvl w:ilvl="0" w15:tentative="1">
      <w:start w:val="1"/>
      <w:numFmt w:val="decimal"/>
      <w:lvlText w:val="%1."/>
      <w:lvlJc w:val="start"/>
      <w:pPr>
        <w:ind w:left="480" w:hanging="300"/>
      </w:pPr>
    </w:lvl>
  </w:abstractNum>
  <w:abstractNum w:abstractNumId="6" w15:restartNumberingAfterBreak="0">
    <w:multiLevelType w:val="hybridMultilevel"/>
    <w:lvl w:ilvl="0" w15:tentative="1">
      <w:start w:val="1"/>
      <w:numFmt w:val="decimal"/>
      <w:lvlText w:val="%1."/>
      <w:lvlJc w:val="start"/>
      <w:pPr>
        <w:ind w:left="480" w:hanging="300"/>
      </w:pPr>
    </w:lvl>
  </w:abstractNum>
  <w:abstractNum w:abstractNumId="7" w15:restartNumberingAfterBreak="0">
    <w:multiLevelType w:val="hybridMultilevel"/>
    <w:lvl w:ilvl="0" w15:tentative="1">
      <w:start w:val="1"/>
      <w:numFmt w:val="decimal"/>
      <w:lvlText w:val="%1."/>
      <w:lvlJc w:val="start"/>
      <w:pPr>
        <w:ind w:left="480" w:hanging="300"/>
      </w:pPr>
    </w:lvl>
  </w:abstractNum>
  <w:abstractNum w:abstractNumId="8" w15:restartNumberingAfterBreak="0">
    <w:multiLevelType w:val="hybridMultilevel"/>
    <w:lvl w:ilvl="0" w15:tentative="1">
      <w:start w:val="1"/>
      <w:numFmt w:val="bullet"/>
      <w:lvlText w:val="•"/>
      <w:lvlJc w:val="star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b971cca82deeec31ad2d6036d57b89ee8554de.png"/><Relationship Id="rId8" Type="http://schemas.openxmlformats.org/officeDocument/2006/relationships/image" Target="media/0ad34d6c8ec1838f74cc592d48dc2e8ff8a4daa5.png"/><Relationship Id="rId9" Type="http://schemas.openxmlformats.org/officeDocument/2006/relationships/image" Target="media/60f10f275cb06c20e76b5f80ec0c93488453446a.png"/><Relationship Id="rId10" Type="http://schemas.openxmlformats.org/officeDocument/2006/relationships/image" Target="media/4641651b5aab4766763d195e6c8247a74f1543c6.png"/><Relationship Id="rId11" Type="http://schemas.openxmlformats.org/officeDocument/2006/relationships/image" Target="media/69abbf5508e48b7cda12bb4d5c4c2b125e58893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2026-08-02T07:45:04.894Z</dcterms:created>
  <dcterms:modified xsi:type="dcterms:W3CDTF">2026-08-02T07:45:04.902Z</dcterms:modified>
</cp:coreProperties>
</file>

<file path=docProps/custom.xml><?xml version="1.0" encoding="utf-8"?>
<Properties xmlns="http://schemas.openxmlformats.org/officeDocument/2006/custom-properties" xmlns:vt="http://schemas.openxmlformats.org/officeDocument/2006/docPropsVTypes"/>
</file>