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MUTCD-150 Claude Fable 5 Ablation Study</w:t>
      </w:r>
    </w:p>
    <w:p>
      <w:pPr>
        <w:jc w:val="center"/>
      </w:pPr>
      <w:r>
        <w:rPr>
          <w:i/>
        </w:rPr>
        <w:t>Original RAG baseline and six component-removal conditions</w:t>
      </w:r>
    </w:p>
    <w:p>
      <w:pPr>
        <w:pStyle w:val="Heading1"/>
      </w:pPr>
      <w:r>
        <w:t>Study Design</w:t>
      </w:r>
    </w:p>
    <w:p>
      <w:pPr>
        <w:spacing w:line="252" w:lineRule="auto" w:after="80"/>
        <w:jc w:val="both"/>
      </w:pPr>
      <w:r>
        <w:t>The study used the attached original Claude Fable 5 RAG as the baseline and held the model, few-shot prompt, 150-question benchmark, and scoring rubric fixed. The six runs removed the question router, VLM figure filter, graph-proximity term, rule-type term, hierarchy prior, or reranker. All 900 updated responses passed runtime validation.</w:t>
      </w:r>
    </w:p>
    <w:p>
      <w:pPr>
        <w:spacing w:line="252" w:lineRule="auto" w:after="80"/>
        <w:jc w:val="both"/>
      </w:pPr>
      <w:r>
        <w:t>The updated A2-A6 answers matched the prior audited answers byte for byte. A1 retained 132 prior answers and repaired T001-T018. GPT-5.6 applied the locked answer rubric to those 18 records. Scripts calculated the retrieval, visual, latency, calibration, and composite metrics.</w:t>
      </w:r>
    </w:p>
    <w:p>
      <w:pPr>
        <w:pStyle w:val="Heading1"/>
      </w:pPr>
      <w:r>
        <w:t>Overall Results</w:t>
      </w:r>
    </w:p>
    <w:p>
      <w:pPr>
        <w:spacing w:before="100" w:after="60"/>
        <w:jc w:val="center"/>
      </w:pPr>
      <w:r>
        <w:rPr>
          <w:rFonts w:ascii="Times New Roman" w:hAnsi="Times New Roman"/>
          <w:b/>
          <w:sz w:val="18"/>
        </w:rPr>
        <w:t>Table 1. Original RAG baseline and ablation results.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Condition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Retrieval /25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Generation /60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Reliability /12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Full score /100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Δ full score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Common score /100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Correctness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Completeness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Citation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Full credit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Median latency (s)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Original RAG baseline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19.35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55.18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10.90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88.08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0.00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80.0%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28.41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question router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18.85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55.74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N/A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N/A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N/A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88.34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95.2%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29.89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VLM figure filter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19.59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55.12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10.70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88.06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-0.01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88.48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16.64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graph-proximity term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19.59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55.21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10.68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88.13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0.05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88.57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24.40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rule-type term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19.65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55.35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10.60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88.78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95.0%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23.54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hierarchy prior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19.59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55.10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10.54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87.86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-0.21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88.45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90.1%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23.15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reranker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17.78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52.77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10.38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83.43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-4.65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83.90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84.6%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22.96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5413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mmon_ablation_s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41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1. Common 91-point score for the original RAG and all ablation conditions.</w:t>
      </w:r>
    </w:p>
    <w:p>
      <w:pPr>
        <w:pStyle w:val="Heading1"/>
      </w:pPr>
      <w:r>
        <w:t>Retrieval Performance</w:t>
      </w:r>
    </w:p>
    <w:p>
      <w:pPr>
        <w:spacing w:before="100" w:after="60"/>
        <w:jc w:val="center"/>
      </w:pPr>
      <w:r>
        <w:rPr>
          <w:rFonts w:ascii="Times New Roman" w:hAnsi="Times New Roman"/>
          <w:b/>
          <w:sz w:val="18"/>
        </w:rPr>
        <w:t>Table 2. Retrieval and visual-retrieval measures.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Condition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Recall@5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MRR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nDCG@6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Context precision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Routing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Evidence sufficiency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Exact visual hit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Visual precision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Page hit@1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Page hit@3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Page hit@4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Original RAG baseline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86.7%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82.6%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47.6%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78.0%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76.5%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question router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48.8%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56.7%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78.8%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70.8%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VLM figure filter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48.8%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85.9%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23.5%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graph-proximity term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67.0%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rule-type term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82.7%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81.6%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48.7%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hierarchy prior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82.8%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48.8%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67.3%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  <w:tr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reranker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76.0%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71.9%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44.9%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81.3%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57.4%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64.7%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88.2%</w:t>
            </w:r>
          </w:p>
        </w:tc>
        <w:tc>
          <w:tcPr>
            <w:tcW w:type="dxa" w:w="118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5488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blation_retrieval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48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2. Retrieval effects of the six ablations.</w:t>
      </w:r>
    </w:p>
    <w:p>
      <w:pPr>
        <w:spacing w:line="252" w:lineRule="auto" w:after="80"/>
        <w:jc w:val="both"/>
      </w:pPr>
      <w:r>
        <w:t>Removing the reranker reduced Recall@5 from 86.7% to 76.0% and reduced the retrieval score from 19.35 to 17.78/25. Removing the VLM filter increased exact visual recovery to 85.9% but reduced visual precision to 23.5%.</w:t>
      </w:r>
    </w:p>
    <w:p>
      <w:pPr>
        <w:pStyle w:val="Heading1"/>
      </w:pPr>
      <w:r>
        <w:t>Question Answering and Reliability</w:t>
      </w:r>
    </w:p>
    <w:p>
      <w:pPr>
        <w:spacing w:before="100" w:after="60"/>
        <w:jc w:val="center"/>
      </w:pPr>
      <w:r>
        <w:rPr>
          <w:rFonts w:ascii="Times New Roman" w:hAnsi="Times New Roman"/>
          <w:b/>
          <w:sz w:val="18"/>
        </w:rPr>
        <w:t>Table 3. Answer-quality and reliability measures.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  <w:gridCol w:w="1426"/>
      </w:tblGrid>
      <w:tr>
        <w:trPr>
          <w:tblHeader w:val="true"/>
        </w:trP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Condition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Correctness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Completeness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Faithfulness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Citation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Visual reasoning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Full credit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Unanswerable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Brier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3"/>
              </w:rPr>
              <w:t>ECE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Original RAG baseline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98.4%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80.0%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0.169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0.130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question router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93.4%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97.8%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95.2%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76.0%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N/A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N/A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VLM figure filter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98.1%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74.7%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0.212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0.154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graph-proximity term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98.0%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91.2%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76.0%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0.205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0.167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rule-type term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92.3%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98.3%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95.0%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91.5%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74.7%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0.220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0.180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hierarchy prior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91.9%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98.0%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94.4%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90.9%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72.7%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0.234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0.187</w:t>
            </w:r>
          </w:p>
        </w:tc>
      </w:tr>
      <w:tr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No reranker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86.0%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84.6%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97.9%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88.4%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89.1%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68.7%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96.7%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0.250</w:t>
            </w:r>
          </w:p>
        </w:tc>
        <w:tc>
          <w:tcPr>
            <w:tcW w:type="dxa" w:w="142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3"/>
              </w:rPr>
              <w:t>0.225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54823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blation_qa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482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3. Question-answering effects of the six ablations.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5543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blation_delta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54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4. Percentage-point changes from the original RAG baseline.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5526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ull_credit_delta_by_mod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5526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18"/>
        </w:rPr>
        <w:t>Figure 5. Strict full-credit changes by primary modality.</w:t>
      </w:r>
    </w:p>
    <w:p>
      <w:pPr>
        <w:pStyle w:val="Heading1"/>
      </w:pPr>
      <w:r>
        <w:t>Paired Bootstrap</w:t>
      </w:r>
    </w:p>
    <w:p>
      <w:pPr>
        <w:spacing w:before="100" w:after="60"/>
        <w:jc w:val="center"/>
      </w:pPr>
      <w:r>
        <w:rPr>
          <w:rFonts w:ascii="Times New Roman" w:hAnsi="Times New Roman"/>
          <w:b/>
          <w:sz w:val="18"/>
        </w:rPr>
        <w:t>Table 4. Paired question-bootstrap intervals for score changes.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Condition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Full-score change (95% CI)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Common-score change (95% CI)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question router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N/A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+0.07 [-0.56, +0.79]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VLM figure filter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-0.01 [-0.43, +0.39]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+0.21 [-0.07, +0.60]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graph-proximity term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+0.05 [-0.32, +0.44]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+0.29 [+0.03, +0.66]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rule-type term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+0.16 [-0.41, +0.83]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+0.51 [+0.01, +1.17]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hierarchy prior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-0.21 [-0.60, +0.19]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+0.17 [-0.06, +0.53]</w:t>
            </w:r>
          </w:p>
        </w:tc>
      </w:tr>
      <w:tr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No reranker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-4.65 [-6.91, -2.60]</w:t>
            </w:r>
          </w:p>
        </w:tc>
        <w:tc>
          <w:tcPr>
            <w:tcW w:type="dxa" w:w="475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-4.38 [-6.70, -2.31]</w:t>
            </w:r>
          </w:p>
        </w:tc>
      </w:tr>
    </w:tbl>
    <w:p/>
    <w:p>
      <w:pPr>
        <w:spacing w:line="252" w:lineRule="auto" w:after="80"/>
        <w:jc w:val="both"/>
      </w:pPr>
      <w:r>
        <w:t>The no-reranker full-score interval remained below zero. The intervals for the other full-score comparisons included zero. These intervals represent benchmark-question sampling only; they do not capture model run-to-run variation.</w:t>
      </w:r>
    </w:p>
    <w:p>
      <w:pPr>
        <w:pStyle w:val="Heading1"/>
      </w:pPr>
      <w:r>
        <w:t>Paper Interpretation</w:t>
      </w:r>
    </w:p>
    <w:p>
      <w:pPr>
        <w:spacing w:line="252" w:lineRule="auto" w:after="80"/>
        <w:jc w:val="both"/>
      </w:pPr>
      <w:r>
        <w:t>The reranker produced the largest measurable contribution. Its removal reduced the full score from 88.08 to 83.43/100 and reduced strict full credit by 11.3 percentage points.</w:t>
      </w:r>
    </w:p>
    <w:p>
      <w:pPr>
        <w:spacing w:line="252" w:lineRule="auto" w:after="80"/>
        <w:jc w:val="both"/>
      </w:pPr>
      <w:r>
        <w:t>The VLM filter controlled visual-context noise. The no-filter run raised exact visual recovery but reduced visual precision from 72.5% to 23.5%. The composite score does not weight visual precision directly.</w:t>
      </w:r>
    </w:p>
    <w:p>
      <w:pPr>
        <w:spacing w:line="252" w:lineRule="auto" w:after="80"/>
        <w:jc w:val="both"/>
      </w:pPr>
      <w:r>
        <w:t>The no-hierarchy run changed average correctness by only -0.1 percentage points but reduced strict full credit by 7.3 points. The graph and rule-type ablations produced small single-run changes whose paired intervals included zero.</w:t>
      </w:r>
    </w:p>
    <w:p>
      <w:pPr>
        <w:pStyle w:val="Heading1"/>
      </w:pPr>
      <w:r>
        <w:t>Limitations</w:t>
      </w:r>
    </w:p>
    <w:p>
      <w:pPr>
        <w:pStyle w:val="ListNumber"/>
      </w:pPr>
      <w:r>
        <w:t>The original RAG baseline predates the ablations_v3 harness, so small differences can include execution-version effects.</w:t>
      </w:r>
    </w:p>
    <w:p>
      <w:pPr>
        <w:pStyle w:val="ListNumber"/>
      </w:pPr>
      <w:r>
        <w:t>The study contains one generation run per condition. Question-level bootstrap intervals do not measure stochastic generation variability.</w:t>
      </w:r>
    </w:p>
    <w:p>
      <w:pPr>
        <w:pStyle w:val="ListNumber"/>
      </w:pPr>
      <w:r>
        <w:t>GPT-5.6 performed the structured answer audit; independent MUTCD-informed human validation remains pending.</w:t>
      </w:r>
    </w:p>
    <w:p>
      <w:pPr>
        <w:pStyle w:val="ListNumber"/>
      </w:pPr>
      <w:r>
        <w:t>Repeatability remains pending, and router confidence is unavailable in the no-router condition.</w:t>
      </w:r>
    </w:p>
    <w:p>
      <w:pPr>
        <w:pStyle w:val="ListNumber"/>
      </w:pPr>
      <w:r>
        <w:t>Visual precision remains a diagnostic measure rather than a weighted component of the retrieval score.</w:t>
      </w:r>
    </w:p>
    <w:sectPr w:rsidR="00FC693F" w:rsidRPr="0006063C" w:rsidSect="00034616">
      <w:footerReference w:type="default" r:id="rId14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