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Calibri" w:cs="Calibri" w:eastAsia="Calibri" w:hAnsi="Calibri"/>
          <w:sz w:val="22"/>
          <w:szCs w:val="22"/>
        </w:rPr>
        <w:t xml:space="preserve"/>
      </w:r>
    </w:p>
    <w:p>
      <w:pPr>
        <w:spacing w:after="60" w:before="0"/>
        <w:jc w:val="center"/>
      </w:pPr>
      <w:r>
        <w:rPr>
          <w:rFonts w:ascii="Calibri" w:cs="Calibri" w:eastAsia="Calibri" w:hAnsi="Calibri"/>
          <w:b/>
          <w:bCs/>
          <w:color w:val="555555"/>
          <w:sz w:val="18"/>
          <w:szCs w:val="18"/>
        </w:rPr>
        <w:t xml:space="preserve">PALO ALTO NETWORKS</w:t>
      </w:r>
    </w:p>
    <w:p>
      <w:pPr>
        <w:spacing w:after="80" w:before="0"/>
        <w:jc w:val="center"/>
      </w:pPr>
      <w:r>
        <w:rPr>
          <w:rFonts w:ascii="Calibri" w:cs="Calibri" w:eastAsia="Calibri" w:hAnsi="Calibri"/>
          <w:color w:val="555555"/>
          <w:sz w:val="18"/>
          <w:szCs w:val="18"/>
        </w:rPr>
        <w:t xml:space="preserve">Human Resources Analytics Division</w:t>
      </w:r>
    </w:p>
    <w:p>
      <w:pPr>
        <w:spacing w:after="100" w:before="0"/>
      </w:pPr>
      <w:r>
        <w:rPr>
          <w:rFonts w:ascii="Calibri" w:cs="Calibri" w:eastAsia="Calibri" w:hAnsi="Calibri"/>
          <w:sz w:val="22"/>
          <w:szCs w:val="22"/>
        </w:rPr>
        <w:t xml:space="preserve"/>
      </w:r>
    </w:p>
    <w:p>
      <w:pPr>
        <w:pBdr>
          <w:top w:val="single" w:color="2E5FA3" w:sz="12" w:space="6"/>
          <w:bottom w:val="single" w:color="2E5FA3" w:sz="12" w:space="6"/>
        </w:pBdr>
        <w:spacing w:after="80" w:before="0"/>
        <w:jc w:val="center"/>
      </w:pPr>
      <w:r>
        <w:rPr>
          <w:rFonts w:ascii="Georgia" w:cs="Georgia" w:eastAsia="Georgia" w:hAnsi="Georgia"/>
          <w:b/>
          <w:bCs/>
          <w:color w:val="1E3A5F"/>
          <w:sz w:val="48"/>
          <w:szCs w:val="48"/>
        </w:rPr>
        <w:t xml:space="preserve">Workforce Attrition Patterns and Risk Hotspot Analysis</w:t>
      </w:r>
    </w:p>
    <w:p>
      <w:pPr>
        <w:spacing w:after="100" w:before="0"/>
      </w:pPr>
      <w:r>
        <w:rPr>
          <w:rFonts w:ascii="Calibri" w:cs="Calibri" w:eastAsia="Calibri" w:hAnsi="Calibri"/>
          <w:sz w:val="22"/>
          <w:szCs w:val="22"/>
        </w:rPr>
        <w:t xml:space="preserve"/>
      </w:r>
    </w:p>
    <w:p>
      <w:pPr>
        <w:spacing w:after="60" w:before="0"/>
        <w:jc w:val="center"/>
      </w:pPr>
      <w:r>
        <w:rPr>
          <w:rFonts w:ascii="Georgia" w:cs="Georgia" w:eastAsia="Georgia" w:hAnsi="Georgia"/>
          <w:i/>
          <w:iCs/>
          <w:color w:val="2E5FA3"/>
          <w:sz w:val="26"/>
          <w:szCs w:val="26"/>
        </w:rPr>
        <w:t xml:space="preserve">A Diagnostic Study of Employee Exit Behavior Across Departments,</w:t>
      </w:r>
    </w:p>
    <w:p>
      <w:pPr>
        <w:spacing w:after="140" w:before="0"/>
        <w:jc w:val="center"/>
      </w:pPr>
      <w:r>
        <w:rPr>
          <w:rFonts w:ascii="Georgia" w:cs="Georgia" w:eastAsia="Georgia" w:hAnsi="Georgia"/>
          <w:i/>
          <w:iCs/>
          <w:color w:val="2E5FA3"/>
          <w:sz w:val="26"/>
          <w:szCs w:val="26"/>
        </w:rPr>
        <w:t xml:space="preserve">Roles, Demographics, Tenure, and Workload Factors</w:t>
      </w:r>
    </w:p>
    <w:p>
      <w:pPr>
        <w:spacing w:after="200" w:before="0"/>
      </w:pPr>
      <w:r>
        <w:rPr>
          <w:rFonts w:ascii="Calibri" w:cs="Calibri" w:eastAsia="Calibri" w:hAnsi="Calibri"/>
          <w:sz w:val="22"/>
          <w:szCs w:val="22"/>
        </w:rPr>
        <w:t xml:space="preserve"/>
      </w:r>
    </w:p>
    <w:p>
      <w:pPr>
        <w:spacing w:after="40" w:before="0"/>
        <w:jc w:val="center"/>
      </w:pPr>
      <w:r>
        <w:rPr>
          <w:rFonts w:ascii="Calibri" w:cs="Calibri" w:eastAsia="Calibri" w:hAnsi="Calibri"/>
          <w:color w:val="1A1A1A"/>
          <w:sz w:val="22"/>
          <w:szCs w:val="22"/>
        </w:rPr>
        <w:t xml:space="preserve">Dataset: 1,470 Employee Records  |  31 Workforce Attributes</w:t>
      </w:r>
    </w:p>
    <w:p>
      <w:pPr>
        <w:spacing w:after="40" w:before="0"/>
        <w:jc w:val="center"/>
      </w:pPr>
      <w:r>
        <w:rPr>
          <w:rFonts w:ascii="Calibri" w:cs="Calibri" w:eastAsia="Calibri" w:hAnsi="Calibri"/>
          <w:color w:val="1A1A1A"/>
          <w:sz w:val="22"/>
          <w:szCs w:val="22"/>
        </w:rPr>
        <w:t xml:space="preserve">Analysis Period: Current Organizational Snapshot</w:t>
      </w:r>
    </w:p>
    <w:p>
      <w:pPr>
        <w:spacing w:after="40" w:before="0"/>
        <w:jc w:val="center"/>
      </w:pPr>
      <w:r>
        <w:rPr>
          <w:rFonts w:ascii="Calibri" w:cs="Calibri" w:eastAsia="Calibri" w:hAnsi="Calibri"/>
          <w:color w:val="1A1A1A"/>
          <w:sz w:val="22"/>
          <w:szCs w:val="22"/>
        </w:rPr>
        <w:t xml:space="preserve">Prepared for: HR Leadership and Executive Management</w:t>
      </w:r>
    </w:p>
    <w:p>
      <w:r>
        <w:br w:type="page"/>
      </w:r>
    </w:p>
    <w:p>
      <w:pPr>
        <w:pStyle w:val="Heading1"/>
        <w:pBdr>
          <w:bottom w:val="single" w:color="2E5FA3" w:sz="10" w:space="4"/>
        </w:pBdr>
        <w:spacing w:after="120" w:before="400"/>
      </w:pPr>
      <w:r>
        <w:rPr>
          <w:rFonts w:ascii="Georgia" w:cs="Georgia" w:eastAsia="Georgia" w:hAnsi="Georgia"/>
          <w:b/>
          <w:bCs/>
          <w:color w:val="1E3A5F"/>
          <w:sz w:val="28"/>
          <w:szCs w:val="28"/>
        </w:rPr>
        <w:t xml:space="preserve">Abstract</w:t>
      </w:r>
    </w:p>
    <w:p>
      <w:pPr>
        <w:spacing w:after="140" w:before="60" w:line="380"/>
        <w:jc w:val="both"/>
      </w:pPr>
      <w:r>
        <w:rPr>
          <w:rFonts w:ascii="Calibri" w:cs="Calibri" w:eastAsia="Calibri" w:hAnsi="Calibri"/>
          <w:b w:val="false"/>
          <w:bCs w:val="false"/>
          <w:i w:val="false"/>
          <w:iCs w:val="false"/>
          <w:color w:val="1A1A1A"/>
          <w:sz w:val="22"/>
          <w:szCs w:val="22"/>
        </w:rPr>
        <w:t xml:space="preserve">This study examines the patterns and drivers of employee attrition at Palo Alto Networks using a dataset of 1,470 employee records spanning 31 workforce attributes. The overall attrition rate stands at 16.1 percent, with 237 employees having exited the organization. While this figure sits within the range commonly observed in the technology and cybersecurity sectors, a closer examination reveals that this aggregate number conceals significant variation across departments, job roles, demographic groups, tenure stages, and workload conditions.</w:t>
      </w:r>
    </w:p>
    <w:p>
      <w:pPr>
        <w:spacing w:after="140" w:before="60" w:line="380"/>
        <w:jc w:val="both"/>
      </w:pPr>
      <w:r>
        <w:rPr>
          <w:rFonts w:ascii="Calibri" w:cs="Calibri" w:eastAsia="Calibri" w:hAnsi="Calibri"/>
          <w:b w:val="false"/>
          <w:bCs w:val="false"/>
          <w:i w:val="false"/>
          <w:iCs w:val="false"/>
          <w:color w:val="1A1A1A"/>
          <w:sz w:val="22"/>
          <w:szCs w:val="22"/>
        </w:rPr>
        <w:t xml:space="preserve">The analysis identifies Sales Representatives as the most vulnerable role with an attrition rate of 39.8 percent, a figure nearly two and a half times the organizational average. Overtime emerges as the single most potent predictor of departure, with employees working overtime exiting at a rate of 30.5 percent compared to just 10.4 percent for those who do not. Early-tenure employees, particularly those within their first two years, leave at a rate approaching 30 percent, pointing to a structural onboarding and engagement problem rather than a performance issue.</w:t>
      </w:r>
    </w:p>
    <w:p>
      <w:pPr>
        <w:spacing w:after="140" w:before="60" w:line="380"/>
        <w:jc w:val="both"/>
      </w:pPr>
      <w:r>
        <w:rPr>
          <w:rFonts w:ascii="Calibri" w:cs="Calibri" w:eastAsia="Calibri" w:hAnsi="Calibri"/>
          <w:b w:val="false"/>
          <w:bCs w:val="false"/>
          <w:i w:val="false"/>
          <w:iCs w:val="false"/>
          <w:color w:val="1A1A1A"/>
          <w:sz w:val="22"/>
          <w:szCs w:val="22"/>
        </w:rPr>
        <w:t xml:space="preserve">Demographically, employees in the 18 to 25 age bracket and those who are single show the highest exit frequencies. Satisfaction scores across job quality, environment, work-life balance, and workplace relationships are consistently and meaningfully lower among employees who subsequently leave. The study concludes with targeted recommendations for HR leadership, covering workload management, onboarding redesign, career pathing, and compensation calibration.</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1. Introduction</w:t>
      </w:r>
    </w:p>
    <w:p>
      <w:pPr>
        <w:spacing w:after="140" w:before="60" w:line="380"/>
        <w:jc w:val="both"/>
      </w:pPr>
      <w:r>
        <w:rPr>
          <w:rFonts w:ascii="Calibri" w:cs="Calibri" w:eastAsia="Calibri" w:hAnsi="Calibri"/>
          <w:b w:val="false"/>
          <w:bCs w:val="false"/>
          <w:i w:val="false"/>
          <w:iCs w:val="false"/>
          <w:color w:val="1A1A1A"/>
          <w:sz w:val="22"/>
          <w:szCs w:val="22"/>
        </w:rPr>
        <w:t xml:space="preserve">In a high-skill, fast-paced cybersecurity organization like Palo Alto Networks, every departure is not simply a headcount adjustment. It represents the loss of institutional knowledge, the disruption of ongoing technical projects, the cost of recruiting and training a replacement, and the often-underestimated effect on team morale and cohesion. This is particularly acute in roles that require significant domain expertise, client relationships, or cross-functional coordination.</w:t>
      </w:r>
    </w:p>
    <w:p>
      <w:pPr>
        <w:spacing w:after="140" w:before="60" w:line="380"/>
        <w:jc w:val="both"/>
      </w:pPr>
      <w:r>
        <w:rPr>
          <w:rFonts w:ascii="Calibri" w:cs="Calibri" w:eastAsia="Calibri" w:hAnsi="Calibri"/>
          <w:b w:val="false"/>
          <w:bCs w:val="false"/>
          <w:i w:val="false"/>
          <w:iCs w:val="false"/>
          <w:color w:val="1A1A1A"/>
          <w:sz w:val="22"/>
          <w:szCs w:val="22"/>
        </w:rPr>
        <w:t xml:space="preserve">Despite having detailed employee data, many organizations continue to treat attrition as something that simply happens, rather than a measurable process with identifiable causes and predictable patterns. HR actions, when they occur, tend to be generalized. Exit surveys gather data that arrives too late. Retention bonuses are applied broadly without targeting the employees most at risk. And conversations about workload or career development happen reactively, after someone has already decided to leave.</w:t>
      </w:r>
    </w:p>
    <w:p>
      <w:pPr>
        <w:spacing w:after="140" w:before="60" w:line="380"/>
        <w:jc w:val="both"/>
      </w:pPr>
      <w:r>
        <w:rPr>
          <w:rFonts w:ascii="Calibri" w:cs="Calibri" w:eastAsia="Calibri" w:hAnsi="Calibri"/>
          <w:b w:val="false"/>
          <w:bCs w:val="false"/>
          <w:i w:val="false"/>
          <w:iCs w:val="false"/>
          <w:color w:val="1A1A1A"/>
          <w:sz w:val="22"/>
          <w:szCs w:val="22"/>
        </w:rPr>
        <w:t xml:space="preserve">This research paper is an attempt to shift that dynamic. By applying structured analytical methods to the employee dataset, we aim to answer four practical questions that HR leadership needs to act on:</w:t>
      </w:r>
    </w:p>
    <w:p>
      <w:pPr>
        <w:pStyle w:val="ListParagraph"/>
        <w:numPr>
          <w:ilvl w:val="0"/>
          <w:numId w:val="2"/>
        </w:numPr>
        <w:spacing w:after="40" w:before="40" w:line="340"/>
      </w:pPr>
      <w:r>
        <w:rPr>
          <w:rFonts w:ascii="Calibri" w:cs="Calibri" w:eastAsia="Calibri" w:hAnsi="Calibri"/>
          <w:color w:val="1A1A1A"/>
          <w:sz w:val="22"/>
          <w:szCs w:val="22"/>
        </w:rPr>
        <w:t xml:space="preserve">Where is attrition most concentrated, and which departments and roles are operating under unsustainable turnover rates?</w:t>
      </w:r>
    </w:p>
    <w:p>
      <w:pPr>
        <w:pStyle w:val="ListParagraph"/>
        <w:numPr>
          <w:ilvl w:val="0"/>
          <w:numId w:val="2"/>
        </w:numPr>
        <w:spacing w:after="40" w:before="40" w:line="340"/>
      </w:pPr>
      <w:r>
        <w:rPr>
          <w:rFonts w:ascii="Calibri" w:cs="Calibri" w:eastAsia="Calibri" w:hAnsi="Calibri"/>
          <w:color w:val="1A1A1A"/>
          <w:sz w:val="22"/>
          <w:szCs w:val="22"/>
        </w:rPr>
        <w:t xml:space="preserve">Who is leaving? Are there demographic or career-stage patterns that point to structural rather than incidental causes?</w:t>
      </w:r>
    </w:p>
    <w:p>
      <w:pPr>
        <w:pStyle w:val="ListParagraph"/>
        <w:numPr>
          <w:ilvl w:val="0"/>
          <w:numId w:val="2"/>
        </w:numPr>
        <w:spacing w:after="40" w:before="40" w:line="340"/>
      </w:pPr>
      <w:r>
        <w:rPr>
          <w:rFonts w:ascii="Calibri" w:cs="Calibri" w:eastAsia="Calibri" w:hAnsi="Calibri"/>
          <w:color w:val="1A1A1A"/>
          <w:sz w:val="22"/>
          <w:szCs w:val="22"/>
        </w:rPr>
        <w:t xml:space="preserve">What conditions are associated with attrition? How much does overtime, travel frequency, or distance from home contribute to the decision to leave?</w:t>
      </w:r>
    </w:p>
    <w:p>
      <w:pPr>
        <w:pStyle w:val="ListParagraph"/>
        <w:numPr>
          <w:ilvl w:val="0"/>
          <w:numId w:val="2"/>
        </w:numPr>
        <w:spacing w:after="40" w:before="40" w:line="340"/>
      </w:pPr>
      <w:r>
        <w:rPr>
          <w:rFonts w:ascii="Calibri" w:cs="Calibri" w:eastAsia="Calibri" w:hAnsi="Calibri"/>
          <w:color w:val="1A1A1A"/>
          <w:sz w:val="22"/>
          <w:szCs w:val="22"/>
        </w:rPr>
        <w:t xml:space="preserve">What are the warning signs? Can we identify the satisfaction and engagement indicators that separate employees who stay from those who go?</w:t>
      </w:r>
    </w:p>
    <w:p>
      <w:pPr>
        <w:spacing w:after="100" w:before="0"/>
      </w:pPr>
      <w:r>
        <w:rPr>
          <w:rFonts w:ascii="Calibri" w:cs="Calibri" w:eastAsia="Calibri" w:hAnsi="Calibri"/>
          <w:sz w:val="22"/>
          <w:szCs w:val="22"/>
        </w:rPr>
        <w:t xml:space="preserve"/>
      </w:r>
    </w:p>
    <w:p>
      <w:pPr>
        <w:spacing w:after="140" w:before="60" w:line="380"/>
        <w:jc w:val="both"/>
      </w:pPr>
      <w:r>
        <w:rPr>
          <w:rFonts w:ascii="Calibri" w:cs="Calibri" w:eastAsia="Calibri" w:hAnsi="Calibri"/>
          <w:b w:val="false"/>
          <w:bCs w:val="false"/>
          <w:i w:val="false"/>
          <w:iCs w:val="false"/>
          <w:color w:val="1A1A1A"/>
          <w:sz w:val="22"/>
          <w:szCs w:val="22"/>
        </w:rPr>
        <w:t xml:space="preserve">The answers to these questions form the foundation of evidence-based workforce management, and they are the subject of the analysis that follows.</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2. Background and Organizational Context</w:t>
      </w:r>
    </w:p>
    <w:p>
      <w:pPr>
        <w:pStyle w:val="Heading2"/>
        <w:spacing w:after="80" w:before="300"/>
      </w:pPr>
      <w:r>
        <w:rPr>
          <w:rFonts w:ascii="Georgia" w:cs="Georgia" w:eastAsia="Georgia" w:hAnsi="Georgia"/>
          <w:b/>
          <w:bCs/>
          <w:color w:val="2E5FA3"/>
          <w:sz w:val="24"/>
          <w:szCs w:val="24"/>
        </w:rPr>
        <w:t xml:space="preserve">2.1 The Cybersecurity Labor Market</w:t>
      </w:r>
    </w:p>
    <w:p>
      <w:pPr>
        <w:spacing w:after="140" w:before="60" w:line="380"/>
        <w:jc w:val="both"/>
      </w:pPr>
      <w:r>
        <w:rPr>
          <w:rFonts w:ascii="Calibri" w:cs="Calibri" w:eastAsia="Calibri" w:hAnsi="Calibri"/>
          <w:b w:val="false"/>
          <w:bCs w:val="false"/>
          <w:i w:val="false"/>
          <w:iCs w:val="false"/>
          <w:color w:val="1A1A1A"/>
          <w:sz w:val="22"/>
          <w:szCs w:val="22"/>
        </w:rPr>
        <w:t xml:space="preserve">Palo Alto Networks operates in one of the most competitive talent markets in the technology industry. Demand for cybersecurity professionals has consistently outpaced supply for the better part of a decade. According to industry workforce studies, unfilled cybersecurity positions globally have numbered in the millions, and compensation premiums for skilled professionals are among the highest in any technical domain. This creates an environment where attrition is not merely a possibility but an ongoing operational pressure.</w:t>
      </w:r>
    </w:p>
    <w:p>
      <w:pPr>
        <w:spacing w:after="140" w:before="60" w:line="380"/>
        <w:jc w:val="both"/>
      </w:pPr>
      <w:r>
        <w:rPr>
          <w:rFonts w:ascii="Calibri" w:cs="Calibri" w:eastAsia="Calibri" w:hAnsi="Calibri"/>
          <w:b w:val="false"/>
          <w:bCs w:val="false"/>
          <w:i w:val="false"/>
          <w:iCs w:val="false"/>
          <w:color w:val="1A1A1A"/>
          <w:sz w:val="22"/>
          <w:szCs w:val="22"/>
        </w:rPr>
        <w:t xml:space="preserve">Retention in this context is not primarily a cost concern, though the financial implications are real. Replacing a mid-level technical employee typically costs between 50 and 200 percent of their annual salary when recruiting fees, onboarding time, productivity ramp-up, and team disruption are all accounted for. At Palo Alto Networks, where average monthly incomes for departing employees suggest annual compensation well into six figures for senior roles, the financial exposure from unmanaged attrition is substantial.</w:t>
      </w:r>
    </w:p>
    <w:p>
      <w:pPr>
        <w:pStyle w:val="Heading2"/>
        <w:spacing w:after="80" w:before="300"/>
      </w:pPr>
      <w:r>
        <w:rPr>
          <w:rFonts w:ascii="Georgia" w:cs="Georgia" w:eastAsia="Georgia" w:hAnsi="Georgia"/>
          <w:b/>
          <w:bCs/>
          <w:color w:val="2E5FA3"/>
          <w:sz w:val="24"/>
          <w:szCs w:val="24"/>
        </w:rPr>
        <w:t xml:space="preserve">2.2 Why Aggregate Metrics Are Insufficient</w:t>
      </w:r>
    </w:p>
    <w:p>
      <w:pPr>
        <w:spacing w:after="140" w:before="60" w:line="380"/>
        <w:jc w:val="both"/>
      </w:pPr>
      <w:r>
        <w:rPr>
          <w:rFonts w:ascii="Calibri" w:cs="Calibri" w:eastAsia="Calibri" w:hAnsi="Calibri"/>
          <w:b w:val="false"/>
          <w:bCs w:val="false"/>
          <w:i w:val="false"/>
          <w:iCs w:val="false"/>
          <w:color w:val="1A1A1A"/>
          <w:sz w:val="22"/>
          <w:szCs w:val="22"/>
        </w:rPr>
        <w:t xml:space="preserve">The organization's overall attrition rate of 16.1 percent tells you relatively little on its own. A rate of that magnitude could reflect a small number of extremely high-turnover roles dragging up an otherwise healthy organizational average. It could reflect a single department in crisis while others are stable. It could be driven by a specific workload condition affecting a subset of employees, rather than a broad cultural or compensation issue.</w:t>
      </w:r>
    </w:p>
    <w:p>
      <w:pPr>
        <w:spacing w:after="140" w:before="60" w:line="380"/>
        <w:jc w:val="both"/>
      </w:pPr>
      <w:r>
        <w:rPr>
          <w:rFonts w:ascii="Calibri" w:cs="Calibri" w:eastAsia="Calibri" w:hAnsi="Calibri"/>
          <w:b w:val="false"/>
          <w:bCs w:val="false"/>
          <w:i w:val="false"/>
          <w:iCs w:val="false"/>
          <w:color w:val="1A1A1A"/>
          <w:sz w:val="22"/>
          <w:szCs w:val="22"/>
        </w:rPr>
        <w:t xml:space="preserve">The purpose of this analysis is to decompose that aggregate rate into its components, to understand not just how many people are leaving but which people, from where, under what conditions, and at what stage of their tenure. That level of granularity is what makes intervention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24"/>
              <w:bottom w:val="none" w:color="FFFFFF" w:sz="0"/>
              <w:right w:val="none" w:color="FFFFFF" w:sz="0"/>
            </w:tcBorders>
            <w:shd w:fill="EBF2FA" w:val="clear"/>
            <w:tcMar>
              <w:top w:type="dxa" w:w="120"/>
              <w:left w:type="dxa" w:w="240"/>
              <w:bottom w:type="dxa" w:w="120"/>
              <w:right w:type="dxa" w:w="240"/>
            </w:tcMar>
          </w:tcPr>
          <w:p>
            <w:pPr>
              <w:spacing w:after="0" w:before="0" w:line="360"/>
            </w:pPr>
            <w:r>
              <w:rPr>
                <w:rFonts w:ascii="Georgia" w:cs="Georgia" w:eastAsia="Georgia" w:hAnsi="Georgia"/>
                <w:i/>
                <w:iCs/>
                <w:color w:val="1E3A5F"/>
                <w:sz w:val="23"/>
                <w:szCs w:val="23"/>
              </w:rPr>
              <w:t xml:space="preserve">The overall attrition rate of 16.1% conceals a Sales Representative exit rate of 39.8% and an overtime-worker departure rate of 30.5% — neither of which would be visible without role-level and condition-level disaggregation.</w:t>
            </w:r>
          </w:p>
        </w:tc>
      </w:tr>
    </w:tbl>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3. Dataset Description</w:t>
      </w:r>
    </w:p>
    <w:p>
      <w:pPr>
        <w:pStyle w:val="Heading2"/>
        <w:spacing w:after="80" w:before="300"/>
      </w:pPr>
      <w:r>
        <w:rPr>
          <w:rFonts w:ascii="Georgia" w:cs="Georgia" w:eastAsia="Georgia" w:hAnsi="Georgia"/>
          <w:b/>
          <w:bCs/>
          <w:color w:val="2E5FA3"/>
          <w:sz w:val="24"/>
          <w:szCs w:val="24"/>
        </w:rPr>
        <w:t xml:space="preserve">3.1 Data Overview</w:t>
      </w:r>
    </w:p>
    <w:p>
      <w:pPr>
        <w:spacing w:after="140" w:before="60" w:line="380"/>
        <w:jc w:val="both"/>
      </w:pPr>
      <w:r>
        <w:rPr>
          <w:rFonts w:ascii="Calibri" w:cs="Calibri" w:eastAsia="Calibri" w:hAnsi="Calibri"/>
          <w:b w:val="false"/>
          <w:bCs w:val="false"/>
          <w:i w:val="false"/>
          <w:iCs w:val="false"/>
          <w:color w:val="1A1A1A"/>
          <w:sz w:val="22"/>
          <w:szCs w:val="22"/>
        </w:rPr>
        <w:t xml:space="preserve">The dataset contains 1,470 employee records with 31 attributes per record. Each record represents a single employee and captures a combination of demographic information, compensation details, job characteristics, satisfaction ratings, and behavioral indicators such as overtime participation and business travel frequency. The attrition variable is binary, coded as 1 for employees who have left and 0 for those who remain.</w:t>
      </w:r>
    </w:p>
    <w:p>
      <w:pPr>
        <w:spacing w:after="140" w:before="60" w:line="380"/>
        <w:jc w:val="both"/>
      </w:pPr>
      <w:r>
        <w:rPr>
          <w:rFonts w:ascii="Calibri" w:cs="Calibri" w:eastAsia="Calibri" w:hAnsi="Calibri"/>
          <w:b w:val="false"/>
          <w:bCs w:val="false"/>
          <w:i w:val="false"/>
          <w:iCs w:val="false"/>
          <w:color w:val="1A1A1A"/>
          <w:sz w:val="22"/>
          <w:szCs w:val="22"/>
        </w:rPr>
        <w:t xml:space="preserve">The dataset is clean with no missing values across any field. This allowed the analysis to proceed directly to feature engineering and statistical computation without the complications of imputation or exclusion that often constrain real-world HR data studies.</w:t>
      </w:r>
    </w:p>
    <w:p>
      <w:pPr>
        <w:spacing w:after="10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500"/>
        <w:gridCol w:w="2160"/>
      </w:tblGrid>
      <w:tr>
        <w:trPr>
          <w:tblHeader/>
        </w:trPr>
        <w:tc>
          <w:tcPr>
            <w:tcW w:type="dxa" w:w="2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Type</w:t>
            </w:r>
          </w:p>
        </w:tc>
        <w:tc>
          <w:tcPr>
            <w:tcW w:type="dxa" w:w="3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Description</w:t>
            </w:r>
          </w:p>
        </w:tc>
        <w:tc>
          <w:tcPr>
            <w:tcW w:type="dxa" w:w="21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Range / Values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Numeric</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Employee age in years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18 – 60</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Attrition</w:t>
            </w:r>
          </w:p>
        </w:tc>
        <w:tc>
          <w:tcPr>
            <w:tcW w:type="dxa" w:w="1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Binary</w:t>
            </w:r>
          </w:p>
        </w:tc>
        <w:tc>
          <w:tcPr>
            <w:tcW w:type="dxa" w:w="3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Left the organization</w:t>
            </w:r>
          </w:p>
        </w:tc>
        <w:tc>
          <w:tcPr>
            <w:tcW w:type="dxa" w:w="2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0 = Stayed, 1 = Left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BusinessTravel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Categorical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Travel frequency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Non-Travel, Rarely, Frequently</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Department</w:t>
            </w:r>
          </w:p>
        </w:tc>
        <w:tc>
          <w:tcPr>
            <w:tcW w:type="dxa" w:w="1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Categorical</w:t>
            </w:r>
          </w:p>
        </w:tc>
        <w:tc>
          <w:tcPr>
            <w:tcW w:type="dxa" w:w="3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Organizational unit</w:t>
            </w:r>
          </w:p>
        </w:tc>
        <w:tc>
          <w:tcPr>
            <w:tcW w:type="dxa" w:w="2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Sales, R&amp;D, HR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DistanceFromHome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Numeric</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Commute distance (units)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 – 29</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Education</w:t>
            </w:r>
          </w:p>
        </w:tc>
        <w:tc>
          <w:tcPr>
            <w:tcW w:type="dxa" w:w="1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Ordinal</w:t>
            </w:r>
          </w:p>
        </w:tc>
        <w:tc>
          <w:tcPr>
            <w:tcW w:type="dxa" w:w="3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Education level (1–5)</w:t>
            </w:r>
          </w:p>
        </w:tc>
        <w:tc>
          <w:tcPr>
            <w:tcW w:type="dxa" w:w="2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Below College to Doctor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EnvironmentSatisfaction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Ordinal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Workplace environment rating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 (Low) – 4 (High)</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JobInvolvement</w:t>
            </w:r>
          </w:p>
        </w:tc>
        <w:tc>
          <w:tcPr>
            <w:tcW w:type="dxa" w:w="1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Ordinal</w:t>
            </w:r>
          </w:p>
        </w:tc>
        <w:tc>
          <w:tcPr>
            <w:tcW w:type="dxa" w:w="3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Level of job engagement</w:t>
            </w:r>
          </w:p>
        </w:tc>
        <w:tc>
          <w:tcPr>
            <w:tcW w:type="dxa" w:w="2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1 (Low) – 4 (High)</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JobLevel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Ordinal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Seniority tier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 (Entry) – 5 (Lead)</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JobSatisfaction</w:t>
            </w:r>
          </w:p>
        </w:tc>
        <w:tc>
          <w:tcPr>
            <w:tcW w:type="dxa" w:w="1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Ordinal</w:t>
            </w:r>
          </w:p>
        </w:tc>
        <w:tc>
          <w:tcPr>
            <w:tcW w:type="dxa" w:w="3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Role satisfaction rating</w:t>
            </w:r>
          </w:p>
        </w:tc>
        <w:tc>
          <w:tcPr>
            <w:tcW w:type="dxa" w:w="2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1 (Low) – 4 (High)</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MonthlyIncome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Numeric</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Monthly compensation (USD)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$1,009 – $19,999</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OverTime</w:t>
            </w:r>
          </w:p>
        </w:tc>
        <w:tc>
          <w:tcPr>
            <w:tcW w:type="dxa" w:w="1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Binary</w:t>
            </w:r>
          </w:p>
        </w:tc>
        <w:tc>
          <w:tcPr>
            <w:tcW w:type="dxa" w:w="3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Works overtime</w:t>
            </w:r>
          </w:p>
        </w:tc>
        <w:tc>
          <w:tcPr>
            <w:tcW w:type="dxa" w:w="2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Yes / No</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WorkLifeBalance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Ordinal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Work-life balance rating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 (Poor) – 4 (Excellent)</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YearsAtCompany</w:t>
            </w:r>
          </w:p>
        </w:tc>
        <w:tc>
          <w:tcPr>
            <w:tcW w:type="dxa" w:w="12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Numeric</w:t>
            </w:r>
          </w:p>
        </w:tc>
        <w:tc>
          <w:tcPr>
            <w:tcW w:type="dxa" w:w="3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Tenure at current company</w:t>
            </w:r>
          </w:p>
        </w:tc>
        <w:tc>
          <w:tcPr>
            <w:tcW w:type="dxa" w:w="21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0 – 40 years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YearsSinceLastPromotion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Numeric</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Promotion recency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0 – 15 years</w:t>
            </w:r>
          </w:p>
        </w:tc>
      </w:tr>
    </w:tbl>
    <w:p>
      <w:pPr>
        <w:spacing w:after="100" w:before="0"/>
      </w:pPr>
      <w:r>
        <w:rPr>
          <w:rFonts w:ascii="Calibri" w:cs="Calibri" w:eastAsia="Calibri" w:hAnsi="Calibri"/>
          <w:sz w:val="22"/>
          <w:szCs w:val="22"/>
        </w:rPr>
        <w:t xml:space="preserve"/>
      </w:r>
    </w:p>
    <w:p>
      <w:pPr>
        <w:pStyle w:val="Heading2"/>
        <w:spacing w:after="80" w:before="300"/>
      </w:pPr>
      <w:r>
        <w:rPr>
          <w:rFonts w:ascii="Georgia" w:cs="Georgia" w:eastAsia="Georgia" w:hAnsi="Georgia"/>
          <w:b/>
          <w:bCs/>
          <w:color w:val="2E5FA3"/>
          <w:sz w:val="24"/>
          <w:szCs w:val="24"/>
        </w:rPr>
        <w:t xml:space="preserve">3.2 Feature Engineering</w:t>
      </w:r>
    </w:p>
    <w:p>
      <w:pPr>
        <w:spacing w:after="140" w:before="60" w:line="380"/>
        <w:jc w:val="both"/>
      </w:pPr>
      <w:r>
        <w:rPr>
          <w:rFonts w:ascii="Calibri" w:cs="Calibri" w:eastAsia="Calibri" w:hAnsi="Calibri"/>
          <w:b w:val="false"/>
          <w:bCs w:val="false"/>
          <w:i w:val="false"/>
          <w:iCs w:val="false"/>
          <w:color w:val="1A1A1A"/>
          <w:sz w:val="22"/>
          <w:szCs w:val="22"/>
        </w:rPr>
        <w:t xml:space="preserve">Several derived variables were constructed to support the analysis. Employees were grouped into four age bands: 18 to 25, 26 to 35, 36 to 45, and 46 to 60. Tenure at the company was bucketed into five categories covering 0 to 2 years, 3 to 5 years, 6 to 10 years, 11 to 20 years, and over 20 years. Distance from home was classified into near, mid-range, and far bands. Career stage was defined using total working years across all employers, distinguishing early-career employees from mid-career and senior professionals. Promotion stagnation was flagged for employees who had not received a promotion in four or more years.</w:t>
      </w:r>
    </w:p>
    <w:p>
      <w:pPr>
        <w:spacing w:after="100" w:before="0"/>
      </w:pPr>
      <w:r>
        <w:rPr>
          <w:rFonts w:ascii="Calibri" w:cs="Calibri" w:eastAsia="Calibri" w:hAnsi="Calibri"/>
          <w:sz w:val="22"/>
          <w:szCs w:val="22"/>
        </w:rPr>
        <w:t xml:space="preserve"/>
      </w:r>
    </w:p>
    <w:p>
      <w:r>
        <w:br w:type="page"/>
      </w:r>
    </w:p>
    <w:p>
      <w:pPr>
        <w:pStyle w:val="Heading1"/>
        <w:pBdr>
          <w:bottom w:val="single" w:color="2E5FA3" w:sz="10" w:space="4"/>
        </w:pBdr>
        <w:spacing w:after="120" w:before="400"/>
      </w:pPr>
      <w:r>
        <w:rPr>
          <w:rFonts w:ascii="Georgia" w:cs="Georgia" w:eastAsia="Georgia" w:hAnsi="Georgia"/>
          <w:b/>
          <w:bCs/>
          <w:color w:val="1E3A5F"/>
          <w:sz w:val="28"/>
          <w:szCs w:val="28"/>
        </w:rPr>
        <w:t xml:space="preserve">4. Analytical Methodology</w:t>
      </w:r>
    </w:p>
    <w:p>
      <w:pPr>
        <w:pStyle w:val="Heading2"/>
        <w:spacing w:after="80" w:before="300"/>
      </w:pPr>
      <w:r>
        <w:rPr>
          <w:rFonts w:ascii="Georgia" w:cs="Georgia" w:eastAsia="Georgia" w:hAnsi="Georgia"/>
          <w:b/>
          <w:bCs/>
          <w:color w:val="2E5FA3"/>
          <w:sz w:val="24"/>
          <w:szCs w:val="24"/>
        </w:rPr>
        <w:t xml:space="preserve">4.1 Approach</w:t>
      </w:r>
    </w:p>
    <w:p>
      <w:pPr>
        <w:spacing w:after="140" w:before="60" w:line="380"/>
        <w:jc w:val="both"/>
      </w:pPr>
      <w:r>
        <w:rPr>
          <w:rFonts w:ascii="Calibri" w:cs="Calibri" w:eastAsia="Calibri" w:hAnsi="Calibri"/>
          <w:b w:val="false"/>
          <w:bCs w:val="false"/>
          <w:i w:val="false"/>
          <w:iCs w:val="false"/>
          <w:color w:val="1A1A1A"/>
          <w:sz w:val="22"/>
          <w:szCs w:val="22"/>
        </w:rPr>
        <w:t xml:space="preserve">The analytical approach is descriptive and diagnostic rather than predictive. The goal is not to build a machine learning model that assigns risk scores to individual employees, but rather to surface structural patterns in the data that HR leadership can act on at a policy and program level. This distinction matters because structural interventions, changes to workload policy, onboarding design, career path frameworks, or compensation calibration, require understanding patterns across groups rather than scores for individuals.</w:t>
      </w:r>
    </w:p>
    <w:p>
      <w:pPr>
        <w:spacing w:after="140" w:before="60" w:line="380"/>
        <w:jc w:val="both"/>
      </w:pPr>
      <w:r>
        <w:rPr>
          <w:rFonts w:ascii="Calibri" w:cs="Calibri" w:eastAsia="Calibri" w:hAnsi="Calibri"/>
          <w:b w:val="false"/>
          <w:bCs w:val="false"/>
          <w:i w:val="false"/>
          <w:iCs w:val="false"/>
          <w:color w:val="1A1A1A"/>
          <w:sz w:val="22"/>
          <w:szCs w:val="22"/>
        </w:rPr>
        <w:t xml:space="preserve">For each analytical dimension, the core metric is the attrition rate within a subgroup, defined as the number of employees who left divided by the total number of employees in that group, expressed as a percentage. This rate is then compared to the organizational average of 16.1 percent to identify groups that are operating above or below the baseline.</w:t>
      </w:r>
    </w:p>
    <w:p>
      <w:pPr>
        <w:pStyle w:val="Heading2"/>
        <w:spacing w:after="80" w:before="300"/>
      </w:pPr>
      <w:r>
        <w:rPr>
          <w:rFonts w:ascii="Georgia" w:cs="Georgia" w:eastAsia="Georgia" w:hAnsi="Georgia"/>
          <w:b/>
          <w:bCs/>
          <w:color w:val="2E5FA3"/>
          <w:sz w:val="24"/>
          <w:szCs w:val="24"/>
        </w:rPr>
        <w:t xml:space="preserve">4.2 Key Performance Indicators</w:t>
      </w:r>
    </w:p>
    <w:p>
      <w:pPr>
        <w:spacing w:after="10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KPI</w:t>
            </w:r>
          </w:p>
        </w:tc>
        <w:tc>
          <w:tcPr>
            <w:tcW w:type="dxa" w:w="4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Formula</w:t>
            </w:r>
          </w:p>
        </w:tc>
        <w:tc>
          <w:tcPr>
            <w:tcW w:type="dxa" w:w="28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Organizational Value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Overall Attrition Rate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Leavers ÷ Total × 100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16.1%</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Department Attrition Rate</w:t>
            </w:r>
          </w:p>
        </w:tc>
        <w:tc>
          <w:tcPr>
            <w:tcW w:type="dxa" w:w="4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Dept Leavers ÷ Dept Total × 100</w:t>
            </w:r>
          </w:p>
        </w:tc>
        <w:tc>
          <w:tcPr>
            <w:tcW w:type="dxa" w:w="28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Sales: 20.6%, HR: 19.0%, R&amp;D: 13.8%</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Role Attrition Rate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Role Leavers ÷ Role Total × 100</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Sales Rep: 39.8% (highest)</w:t>
            </w:r>
          </w:p>
        </w:tc>
      </w:tr>
      <w:tr>
        <w:tc>
          <w:tcPr>
            <w:tcW w:type="dxa" w:w="25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Early-Tenure Attrition</w:t>
            </w:r>
          </w:p>
        </w:tc>
        <w:tc>
          <w:tcPr>
            <w:tcW w:type="dxa" w:w="4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Leavers (0–2 yrs) ÷ Total (0–2 yrs) × 100</w:t>
            </w:r>
          </w:p>
        </w:tc>
        <w:tc>
          <w:tcPr>
            <w:tcW w:type="dxa" w:w="28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29.8%</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Workload Attrition Index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OT Leavers ÷ OT Total × 100 vs. Non-OT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30.5% vs. 10.4% — 2.9x multiplier</w:t>
            </w:r>
          </w:p>
        </w:tc>
      </w:tr>
    </w:tbl>
    <w:p>
      <w:pPr>
        <w:spacing w:after="100" w:before="0"/>
      </w:pPr>
      <w:r>
        <w:rPr>
          <w:rFonts w:ascii="Calibri" w:cs="Calibri" w:eastAsia="Calibri" w:hAnsi="Calibri"/>
          <w:sz w:val="22"/>
          <w:szCs w:val="22"/>
        </w:rPr>
        <w:t xml:space="preserve"/>
      </w:r>
    </w:p>
    <w:p>
      <w:pPr>
        <w:pStyle w:val="Heading2"/>
        <w:spacing w:after="80" w:before="300"/>
      </w:pPr>
      <w:r>
        <w:rPr>
          <w:rFonts w:ascii="Georgia" w:cs="Georgia" w:eastAsia="Georgia" w:hAnsi="Georgia"/>
          <w:b/>
          <w:bCs/>
          <w:color w:val="2E5FA3"/>
          <w:sz w:val="24"/>
          <w:szCs w:val="24"/>
        </w:rPr>
        <w:t xml:space="preserve">4.3 Comparative Benchmarking</w:t>
      </w:r>
    </w:p>
    <w:p>
      <w:pPr>
        <w:spacing w:after="140" w:before="60" w:line="380"/>
        <w:jc w:val="both"/>
      </w:pPr>
      <w:r>
        <w:rPr>
          <w:rFonts w:ascii="Calibri" w:cs="Calibri" w:eastAsia="Calibri" w:hAnsi="Calibri"/>
          <w:b w:val="false"/>
          <w:bCs w:val="false"/>
          <w:i w:val="false"/>
          <w:iCs w:val="false"/>
          <w:color w:val="1A1A1A"/>
          <w:sz w:val="22"/>
          <w:szCs w:val="22"/>
        </w:rPr>
        <w:t xml:space="preserve">Each subgroup rate is evaluated against two reference points: the organizational average of 16.1 percent, and where relevant, a threshold of 25 percent that was defined as the high-risk boundary for individual job roles. Groups above the organizational average are flagged for attention, and those above 25 percent are classified as requiring urgent intervention.</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5. Exploratory Data Analysis</w:t>
      </w:r>
    </w:p>
    <w:p>
      <w:pPr>
        <w:pStyle w:val="Heading2"/>
        <w:spacing w:after="80" w:before="300"/>
      </w:pPr>
      <w:r>
        <w:rPr>
          <w:rFonts w:ascii="Georgia" w:cs="Georgia" w:eastAsia="Georgia" w:hAnsi="Georgia"/>
          <w:b/>
          <w:bCs/>
          <w:color w:val="2E5FA3"/>
          <w:sz w:val="24"/>
          <w:szCs w:val="24"/>
        </w:rPr>
        <w:t xml:space="preserve">5.1 Overall Attrition Profile</w:t>
      </w:r>
    </w:p>
    <w:p>
      <w:pPr>
        <w:spacing w:after="140" w:before="60" w:line="380"/>
        <w:jc w:val="both"/>
      </w:pPr>
      <w:r>
        <w:rPr>
          <w:rFonts w:ascii="Calibri" w:cs="Calibri" w:eastAsia="Calibri" w:hAnsi="Calibri"/>
          <w:b w:val="false"/>
          <w:bCs w:val="false"/>
          <w:i w:val="false"/>
          <w:iCs w:val="false"/>
          <w:color w:val="1A1A1A"/>
          <w:sz w:val="22"/>
          <w:szCs w:val="22"/>
        </w:rPr>
        <w:t xml:space="preserve">Of the 1,470 employees in the dataset, 237 have left the organization, representing an overall attrition rate of 16.1 percent. The remaining 1,233 employees are retained, constituting 83.9 percent of the workforce. By itself, 16.1 percent sits in the moderate range for technology sector attrition, where annual rates of 13 to 20 percent are not unusual. But as the analysis demonstrates, this moderate average obscures both high-risk concentrations and relatively stable segments of the workforce.</w:t>
      </w:r>
    </w:p>
    <w:p>
      <w:pPr>
        <w:pStyle w:val="Heading2"/>
        <w:spacing w:after="80" w:before="300"/>
      </w:pPr>
      <w:r>
        <w:rPr>
          <w:rFonts w:ascii="Georgia" w:cs="Georgia" w:eastAsia="Georgia" w:hAnsi="Georgia"/>
          <w:b/>
          <w:bCs/>
          <w:color w:val="2E5FA3"/>
          <w:sz w:val="24"/>
          <w:szCs w:val="24"/>
        </w:rPr>
        <w:t xml:space="preserve">5.2 Income Patterns</w:t>
      </w:r>
    </w:p>
    <w:p>
      <w:pPr>
        <w:spacing w:after="140" w:before="60" w:line="380"/>
        <w:jc w:val="both"/>
      </w:pPr>
      <w:r>
        <w:rPr>
          <w:rFonts w:ascii="Calibri" w:cs="Calibri" w:eastAsia="Calibri" w:hAnsi="Calibri"/>
          <w:b w:val="false"/>
          <w:bCs w:val="false"/>
          <w:i w:val="false"/>
          <w:iCs w:val="false"/>
          <w:color w:val="1A1A1A"/>
          <w:sz w:val="22"/>
          <w:szCs w:val="22"/>
        </w:rPr>
        <w:t xml:space="preserve">One of the more telling distributional findings involves monthly income. When the income distribution of employees who left is overlaid against those who stayed, a clear pattern emerges. Leavers are disproportionately concentrated in the lower income brackets, particularly below $5,000 per month. The distribution of stayers, by contrast, is flatter and extends further toward the higher income ranges. This suggests that compensation inadequacy, while not the only driver of attrition, is a meaningful contributing factor, particularly for employees in lower-paying roles or at earlier career stages.</w:t>
      </w:r>
    </w:p>
    <w:p>
      <w:pPr>
        <w:pStyle w:val="Heading2"/>
        <w:spacing w:after="80" w:before="300"/>
      </w:pPr>
      <w:r>
        <w:rPr>
          <w:rFonts w:ascii="Georgia" w:cs="Georgia" w:eastAsia="Georgia" w:hAnsi="Georgia"/>
          <w:b/>
          <w:bCs/>
          <w:color w:val="2E5FA3"/>
          <w:sz w:val="24"/>
          <w:szCs w:val="24"/>
        </w:rPr>
        <w:t xml:space="preserve">5.3 Satisfaction Score Gap</w:t>
      </w:r>
    </w:p>
    <w:p>
      <w:pPr>
        <w:spacing w:after="140" w:before="60" w:line="380"/>
        <w:jc w:val="both"/>
      </w:pPr>
      <w:r>
        <w:rPr>
          <w:rFonts w:ascii="Calibri" w:cs="Calibri" w:eastAsia="Calibri" w:hAnsi="Calibri"/>
          <w:b w:val="false"/>
          <w:bCs w:val="false"/>
          <w:i w:val="false"/>
          <w:iCs w:val="false"/>
          <w:color w:val="1A1A1A"/>
          <w:sz w:val="22"/>
          <w:szCs w:val="22"/>
        </w:rPr>
        <w:t xml:space="preserve">Across all four satisfaction dimensions in the dataset, employees who subsequently left the organization reported meaningfully lower average scores than those who stayed. Job satisfaction averaged 2.47 among leavers compared to 2.78 among stayers. Environment satisfaction showed a gap of approximately 0.2 points. Work-life balance and relationship satisfaction both registered lower scores among the departing group. While no single satisfaction dimension appears decisive on its own, the consistency of lower scores across all four dimensions among leavers suggests a cumulative disengagement pattern rather than any single grievance.</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6. Department and Role Analysis</w:t>
      </w:r>
    </w:p>
    <w:p>
      <w:pPr>
        <w:pStyle w:val="Heading2"/>
        <w:spacing w:after="80" w:before="300"/>
      </w:pPr>
      <w:r>
        <w:rPr>
          <w:rFonts w:ascii="Georgia" w:cs="Georgia" w:eastAsia="Georgia" w:hAnsi="Georgia"/>
          <w:b/>
          <w:bCs/>
          <w:color w:val="2E5FA3"/>
          <w:sz w:val="24"/>
          <w:szCs w:val="24"/>
        </w:rPr>
        <w:t xml:space="preserve">6.1 Department-Level Attrition</w:t>
      </w:r>
    </w:p>
    <w:p>
      <w:pPr>
        <w:spacing w:after="140" w:before="60" w:line="380"/>
        <w:jc w:val="both"/>
      </w:pPr>
      <w:r>
        <w:rPr>
          <w:rFonts w:ascii="Calibri" w:cs="Calibri" w:eastAsia="Calibri" w:hAnsi="Calibri"/>
          <w:b w:val="false"/>
          <w:bCs w:val="false"/>
          <w:i w:val="false"/>
          <w:iCs w:val="false"/>
          <w:color w:val="1A1A1A"/>
          <w:sz w:val="22"/>
          <w:szCs w:val="22"/>
        </w:rPr>
        <w:t xml:space="preserve">The three departments in the dataset show meaningfully different attrition profiles. Sales leads with a rate of 20.6 percent, followed by Human Resources at 19.0 percent, and Research and Development at 13.8 percent. Both Sales and HR exceed the organizational average, while R&amp;D operates below it.</w:t>
      </w:r>
    </w:p>
    <w:p>
      <w:pPr>
        <w:spacing w:after="140" w:before="60" w:line="380"/>
        <w:jc w:val="both"/>
      </w:pPr>
      <w:r>
        <w:rPr>
          <w:rFonts w:ascii="Calibri" w:cs="Calibri" w:eastAsia="Calibri" w:hAnsi="Calibri"/>
          <w:b w:val="false"/>
          <w:bCs w:val="false"/>
          <w:i w:val="false"/>
          <w:iCs w:val="false"/>
          <w:color w:val="1A1A1A"/>
          <w:sz w:val="22"/>
          <w:szCs w:val="22"/>
        </w:rPr>
        <w:t xml:space="preserve">The Sales department's elevated rate reflects a combination of factors that will be explored in greater detail in subsequent sections: high representation of the Sales Representative role, which has the single highest attrition rate in the organization; above-average overtime prevalence; and high rates of frequent business travel. HR's elevated rate is somewhat surprising given its smaller size and internal-facing nature. It may reflect role-specific pressures, limited advancement opportunity within a small function, or compensation constraints relative to the general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24"/>
              <w:bottom w:val="none" w:color="FFFFFF" w:sz="0"/>
              <w:right w:val="none" w:color="FFFFFF" w:sz="0"/>
            </w:tcBorders>
            <w:shd w:fill="EBF2FA" w:val="clear"/>
            <w:tcMar>
              <w:top w:type="dxa" w:w="120"/>
              <w:left w:type="dxa" w:w="240"/>
              <w:bottom w:type="dxa" w:w="120"/>
              <w:right w:type="dxa" w:w="240"/>
            </w:tcMar>
          </w:tcPr>
          <w:p>
            <w:pPr>
              <w:spacing w:after="0" w:before="0" w:line="360"/>
            </w:pPr>
            <w:r>
              <w:rPr>
                <w:rFonts w:ascii="Georgia" w:cs="Georgia" w:eastAsia="Georgia" w:hAnsi="Georgia"/>
                <w:i/>
                <w:iCs/>
                <w:color w:val="1E3A5F"/>
                <w:sz w:val="23"/>
                <w:szCs w:val="23"/>
              </w:rPr>
              <w:t xml:space="preserve">Research and Development, despite operating in a highly competitive talent market, maintains an attrition rate of 13.8%, approximately 2.3 percentage points below the organizational average. This suggests that the conditions in R&amp;D — technical engagement, potential for innovation, or compensation — may be providing a meaningful retention buffer.</w:t>
            </w:r>
          </w:p>
        </w:tc>
      </w:tr>
    </w:tbl>
    <w:p>
      <w:pPr>
        <w:pStyle w:val="Heading2"/>
        <w:spacing w:after="80" w:before="300"/>
      </w:pPr>
      <w:r>
        <w:rPr>
          <w:rFonts w:ascii="Georgia" w:cs="Georgia" w:eastAsia="Georgia" w:hAnsi="Georgia"/>
          <w:b/>
          <w:bCs/>
          <w:color w:val="2E5FA3"/>
          <w:sz w:val="24"/>
          <w:szCs w:val="24"/>
        </w:rPr>
        <w:t xml:space="preserve">6.2 Job Role Analysis</w:t>
      </w:r>
    </w:p>
    <w:p>
      <w:pPr>
        <w:spacing w:after="140" w:before="60" w:line="380"/>
        <w:jc w:val="both"/>
      </w:pPr>
      <w:r>
        <w:rPr>
          <w:rFonts w:ascii="Calibri" w:cs="Calibri" w:eastAsia="Calibri" w:hAnsi="Calibri"/>
          <w:b w:val="false"/>
          <w:bCs w:val="false"/>
          <w:i w:val="false"/>
          <w:iCs w:val="false"/>
          <w:color w:val="1A1A1A"/>
          <w:sz w:val="22"/>
          <w:szCs w:val="22"/>
        </w:rPr>
        <w:t xml:space="preserve">The role-level analysis reveals the most actionable findings in the study. The table below summarizes attrition rates by job role, sorted by severity.</w:t>
      </w:r>
    </w:p>
    <w:p>
      <w:pPr>
        <w:spacing w:after="10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Job Role</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Attrition Rate</w:t>
            </w:r>
          </w:p>
        </w:tc>
        <w:tc>
          <w:tcPr>
            <w:tcW w:type="dxa" w:w="1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Risk Level</w:t>
            </w:r>
          </w:p>
        </w:tc>
        <w:tc>
          <w:tcPr>
            <w:tcW w:type="dxa" w:w="27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Left / Total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Sales Representative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39.8%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Critical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33 / 83</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Laboratory Technician</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23.9%</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High</w:t>
            </w:r>
          </w:p>
        </w:tc>
        <w:tc>
          <w:tcPr>
            <w:tcW w:type="dxa" w:w="27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62 / 259</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Human Resources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23.1%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High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12 / 52</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Research Scientist</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16.1%</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Moderate</w:t>
            </w:r>
          </w:p>
        </w:tc>
        <w:tc>
          <w:tcPr>
            <w:tcW w:type="dxa" w:w="27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47 / 292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Manufacturing Director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5.7%</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Low</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 / 145</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Sales Executive</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12.5%</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Low</w:t>
            </w:r>
          </w:p>
        </w:tc>
        <w:tc>
          <w:tcPr>
            <w:tcW w:type="dxa" w:w="27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57 / 326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Healthcare Representative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9.4%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Low</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9 / 131</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Manager</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5.0%</w:t>
            </w:r>
          </w:p>
        </w:tc>
        <w:tc>
          <w:tcPr>
            <w:tcW w:type="dxa" w:w="18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Low</w:t>
            </w:r>
          </w:p>
        </w:tc>
        <w:tc>
          <w:tcPr>
            <w:tcW w:type="dxa" w:w="27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5 / 102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Research Director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Low</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 / 80</w:t>
            </w:r>
          </w:p>
        </w:tc>
      </w:tr>
    </w:tbl>
    <w:p>
      <w:pPr>
        <w:spacing w:after="100" w:before="0"/>
      </w:pPr>
      <w:r>
        <w:rPr>
          <w:rFonts w:ascii="Calibri" w:cs="Calibri" w:eastAsia="Calibri" w:hAnsi="Calibri"/>
          <w:sz w:val="22"/>
          <w:szCs w:val="22"/>
        </w:rPr>
        <w:t xml:space="preserve"/>
      </w:r>
    </w:p>
    <w:p>
      <w:pPr>
        <w:spacing w:after="140" w:before="60" w:line="380"/>
        <w:jc w:val="both"/>
      </w:pPr>
      <w:r>
        <w:rPr>
          <w:rFonts w:ascii="Calibri" w:cs="Calibri" w:eastAsia="Calibri" w:hAnsi="Calibri"/>
          <w:b w:val="false"/>
          <w:bCs w:val="false"/>
          <w:i w:val="false"/>
          <w:iCs w:val="false"/>
          <w:color w:val="1A1A1A"/>
          <w:sz w:val="22"/>
          <w:szCs w:val="22"/>
        </w:rPr>
        <w:t xml:space="preserve">Sales Representatives stand out as an organizational crisis point. An attrition rate of 39.8 percent means that roughly two in every five Sales Representatives depart. This level of turnover has cascading consequences. It disrupts client relationships, creates continuous pressure on recruitment, prevents the accumulation of deal-making experience that compounds over time, and imposes training costs that erode the return on the hiring investment.</w:t>
      </w:r>
    </w:p>
    <w:p>
      <w:pPr>
        <w:spacing w:after="140" w:before="60" w:line="380"/>
        <w:jc w:val="both"/>
      </w:pPr>
      <w:r>
        <w:rPr>
          <w:rFonts w:ascii="Calibri" w:cs="Calibri" w:eastAsia="Calibri" w:hAnsi="Calibri"/>
          <w:b w:val="false"/>
          <w:bCs w:val="false"/>
          <w:i w:val="false"/>
          <w:iCs w:val="false"/>
          <w:color w:val="1A1A1A"/>
          <w:sz w:val="22"/>
          <w:szCs w:val="22"/>
        </w:rPr>
        <w:t xml:space="preserve">Laboratory Technicians and Human Resources staff both exceed the 23 percent mark, positioning them in the high-risk tier. For Laboratory Technicians, the combination of relatively modest compensation at the lower job levels and potentially limited advancement pathways may be contributing factors. For HR staff, the dynamics discussed at the department level likely carry through at the role level as well.</w:t>
      </w:r>
    </w:p>
    <w:p>
      <w:pPr>
        <w:spacing w:after="100" w:before="0"/>
      </w:pPr>
      <w:r>
        <w:rPr>
          <w:rFonts w:ascii="Calibri" w:cs="Calibri" w:eastAsia="Calibri" w:hAnsi="Calibri"/>
          <w:sz w:val="22"/>
          <w:szCs w:val="22"/>
        </w:rPr>
        <w:t xml:space="preserve"/>
      </w:r>
    </w:p>
    <w:p>
      <w:r>
        <w:br w:type="page"/>
      </w:r>
    </w:p>
    <w:p>
      <w:pPr>
        <w:pStyle w:val="Heading1"/>
        <w:pBdr>
          <w:bottom w:val="single" w:color="2E5FA3" w:sz="10" w:space="4"/>
        </w:pBdr>
        <w:spacing w:after="120" w:before="400"/>
      </w:pPr>
      <w:r>
        <w:rPr>
          <w:rFonts w:ascii="Georgia" w:cs="Georgia" w:eastAsia="Georgia" w:hAnsi="Georgia"/>
          <w:b/>
          <w:bCs/>
          <w:color w:val="1E3A5F"/>
          <w:sz w:val="28"/>
          <w:szCs w:val="28"/>
        </w:rPr>
        <w:t xml:space="preserve">7. Demographic Attrition Analysis</w:t>
      </w:r>
    </w:p>
    <w:p>
      <w:pPr>
        <w:pStyle w:val="Heading2"/>
        <w:spacing w:after="80" w:before="300"/>
      </w:pPr>
      <w:r>
        <w:rPr>
          <w:rFonts w:ascii="Georgia" w:cs="Georgia" w:eastAsia="Georgia" w:hAnsi="Georgia"/>
          <w:b/>
          <w:bCs/>
          <w:color w:val="2E5FA3"/>
          <w:sz w:val="24"/>
          <w:szCs w:val="24"/>
        </w:rPr>
        <w:t xml:space="preserve">7.1 Age Group Patterns</w:t>
      </w:r>
    </w:p>
    <w:p>
      <w:pPr>
        <w:spacing w:after="140" w:before="60" w:line="380"/>
        <w:jc w:val="both"/>
      </w:pPr>
      <w:r>
        <w:rPr>
          <w:rFonts w:ascii="Calibri" w:cs="Calibri" w:eastAsia="Calibri" w:hAnsi="Calibri"/>
          <w:b w:val="false"/>
          <w:bCs w:val="false"/>
          <w:i w:val="false"/>
          <w:iCs w:val="false"/>
          <w:color w:val="1A1A1A"/>
          <w:sz w:val="22"/>
          <w:szCs w:val="22"/>
        </w:rPr>
        <w:t xml:space="preserve">The relationship between age and attrition follows an intuitive but striking pattern. Employees in the 18 to 25 age bracket leave at a rate of 35.8 percent, more than double the organizational average. The rate drops sharply in the 26 to 35 cohort, and continues declining as age increases. Employees in the 46 to 60 range show the lowest exit rates in the dataset.</w:t>
      </w:r>
    </w:p>
    <w:p>
      <w:pPr>
        <w:spacing w:after="140" w:before="60" w:line="380"/>
        <w:jc w:val="both"/>
      </w:pPr>
      <w:r>
        <w:rPr>
          <w:rFonts w:ascii="Calibri" w:cs="Calibri" w:eastAsia="Calibri" w:hAnsi="Calibri"/>
          <w:b w:val="false"/>
          <w:bCs w:val="false"/>
          <w:i w:val="false"/>
          <w:iCs w:val="false"/>
          <w:color w:val="1A1A1A"/>
          <w:sz w:val="22"/>
          <w:szCs w:val="22"/>
        </w:rPr>
        <w:t xml:space="preserve">This pattern is consistent with what labor economists describe as job shopping behavior among younger workers. Early in their careers, employees are actively exploring options, calibrating their market value, and adjusting their career trajectory. Each new job provides information that refines the next move. The implication for Palo Alto Networks is that younger employees should not be expected to behave like mid-career employees, and retention strategies for this cohort need to focus on growth, mentorship, and rapid skill development rather than the long-term stability appeals that work better for older workers.</w:t>
      </w:r>
    </w:p>
    <w:p>
      <w:pPr>
        <w:pStyle w:val="Heading2"/>
        <w:spacing w:after="80" w:before="300"/>
      </w:pPr>
      <w:r>
        <w:rPr>
          <w:rFonts w:ascii="Georgia" w:cs="Georgia" w:eastAsia="Georgia" w:hAnsi="Georgia"/>
          <w:b/>
          <w:bCs/>
          <w:color w:val="2E5FA3"/>
          <w:sz w:val="24"/>
          <w:szCs w:val="24"/>
        </w:rPr>
        <w:t xml:space="preserve">7.2 Marital Status</w:t>
      </w:r>
    </w:p>
    <w:p>
      <w:pPr>
        <w:spacing w:after="140" w:before="60" w:line="380"/>
        <w:jc w:val="both"/>
      </w:pPr>
      <w:r>
        <w:rPr>
          <w:rFonts w:ascii="Calibri" w:cs="Calibri" w:eastAsia="Calibri" w:hAnsi="Calibri"/>
          <w:b w:val="false"/>
          <w:bCs w:val="false"/>
          <w:i w:val="false"/>
          <w:iCs w:val="false"/>
          <w:color w:val="1A1A1A"/>
          <w:sz w:val="22"/>
          <w:szCs w:val="22"/>
        </w:rPr>
        <w:t xml:space="preserve">Single employees leave at a rate of 25.5 percent, compared to 12.0 percent for married employees and 10.1 percent for divorced employees. The single employee cohort's elevated exit rate likely reflects the same dynamics driving age-related patterns: single employees tend to be younger on average, have fewer location constraints, and carry less financial obligation that would make job changes more costly. The gap between single and married employees is large enough to suggest that relationship status is a reasonable proxy for a cluster of lifecycle conditions that collectively reduce or increase the stickiness of employment.</w:t>
      </w:r>
    </w:p>
    <w:p>
      <w:pPr>
        <w:pStyle w:val="Heading2"/>
        <w:spacing w:after="80" w:before="300"/>
      </w:pPr>
      <w:r>
        <w:rPr>
          <w:rFonts w:ascii="Georgia" w:cs="Georgia" w:eastAsia="Georgia" w:hAnsi="Georgia"/>
          <w:b/>
          <w:bCs/>
          <w:color w:val="2E5FA3"/>
          <w:sz w:val="24"/>
          <w:szCs w:val="24"/>
        </w:rPr>
        <w:t xml:space="preserve">7.3 Education Field</w:t>
      </w:r>
    </w:p>
    <w:p>
      <w:pPr>
        <w:spacing w:after="140" w:before="60" w:line="380"/>
        <w:jc w:val="both"/>
      </w:pPr>
      <w:r>
        <w:rPr>
          <w:rFonts w:ascii="Calibri" w:cs="Calibri" w:eastAsia="Calibri" w:hAnsi="Calibri"/>
          <w:b w:val="false"/>
          <w:bCs w:val="false"/>
          <w:i w:val="false"/>
          <w:iCs w:val="false"/>
          <w:color w:val="1A1A1A"/>
          <w:sz w:val="22"/>
          <w:szCs w:val="22"/>
        </w:rPr>
        <w:t xml:space="preserve">Human Resources education backgrounds show the highest attrition rate among education fields in the dataset, at approximately 26.0 percent. Marketing-educated employees follow closely. Life Sciences and Medical backgrounds, which are likely dominant in R&amp;D roles, show attrition rates closer to or below the organizational average. This cross-cutting pattern reinforces the role-level findings: the highest attrition is concentrated in specific functional categories where career advancement may be more constrained and where external market demand for the skill set is also high.</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8. Tenure and Career Stage Analysis</w:t>
      </w:r>
    </w:p>
    <w:p>
      <w:pPr>
        <w:pStyle w:val="Heading2"/>
        <w:spacing w:after="80" w:before="300"/>
      </w:pPr>
      <w:r>
        <w:rPr>
          <w:rFonts w:ascii="Georgia" w:cs="Georgia" w:eastAsia="Georgia" w:hAnsi="Georgia"/>
          <w:b/>
          <w:bCs/>
          <w:color w:val="2E5FA3"/>
          <w:sz w:val="24"/>
          <w:szCs w:val="24"/>
        </w:rPr>
        <w:t xml:space="preserve">8.1 The First Two Years</w:t>
      </w:r>
    </w:p>
    <w:p>
      <w:pPr>
        <w:spacing w:after="140" w:before="60" w:line="380"/>
        <w:jc w:val="both"/>
      </w:pPr>
      <w:r>
        <w:rPr>
          <w:rFonts w:ascii="Calibri" w:cs="Calibri" w:eastAsia="Calibri" w:hAnsi="Calibri"/>
          <w:b w:val="false"/>
          <w:bCs w:val="false"/>
          <w:i w:val="false"/>
          <w:iCs w:val="false"/>
          <w:color w:val="1A1A1A"/>
          <w:sz w:val="22"/>
          <w:szCs w:val="22"/>
        </w:rPr>
        <w:t xml:space="preserve">The tenure analysis produces what is arguably the most operationally significant finding in the study. Employees in their first two years at the company leave at a rate of 29.8 percent. This is nearly double the rate observed in the three-to-five-year cohort and more than three times the rate seen among employees with over ten years of tenure.</w:t>
      </w:r>
    </w:p>
    <w:p>
      <w:pPr>
        <w:spacing w:after="140" w:before="60" w:line="380"/>
        <w:jc w:val="both"/>
      </w:pPr>
      <w:r>
        <w:rPr>
          <w:rFonts w:ascii="Calibri" w:cs="Calibri" w:eastAsia="Calibri" w:hAnsi="Calibri"/>
          <w:b w:val="false"/>
          <w:bCs w:val="false"/>
          <w:i w:val="false"/>
          <w:iCs w:val="false"/>
          <w:color w:val="1A1A1A"/>
          <w:sz w:val="22"/>
          <w:szCs w:val="22"/>
        </w:rPr>
        <w:t xml:space="preserve">This concentration of attrition in the earliest tenure band is a symptom of onboarding and integration failure rather than a random distribution of exits. When nearly one in three new employees leaves within the first two years, it indicates that the hiring-to-productive-employee pipeline is consistently losing output before the investment in recruitment, onboarding, and initial training has been recouped.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FA3" w:sz="24"/>
              <w:bottom w:val="none" w:color="FFFFFF" w:sz="0"/>
              <w:right w:val="none" w:color="FFFFFF" w:sz="0"/>
            </w:tcBorders>
            <w:shd w:fill="EBF2FA" w:val="clear"/>
            <w:tcMar>
              <w:top w:type="dxa" w:w="120"/>
              <w:left w:type="dxa" w:w="240"/>
              <w:bottom w:type="dxa" w:w="120"/>
              <w:right w:type="dxa" w:w="240"/>
            </w:tcMar>
          </w:tcPr>
          <w:p>
            <w:pPr>
              <w:spacing w:after="0" w:before="0" w:line="360"/>
            </w:pPr>
            <w:r>
              <w:rPr>
                <w:rFonts w:ascii="Georgia" w:cs="Georgia" w:eastAsia="Georgia" w:hAnsi="Georgia"/>
                <w:i/>
                <w:iCs/>
                <w:color w:val="1E3A5F"/>
                <w:sz w:val="23"/>
                <w:szCs w:val="23"/>
              </w:rPr>
              <w:t xml:space="preserve">At a replacement cost of approximately 50 to 100 percent of annual salary per departing employee, the 29.8% first-year attrition rate among early-tenure staff represents a compounding financial exposure that is unlikely to improve without structural changes to how new employees are integrated and engaged.</w:t>
            </w:r>
          </w:p>
        </w:tc>
      </w:tr>
    </w:tbl>
    <w:p>
      <w:pPr>
        <w:pStyle w:val="Heading2"/>
        <w:spacing w:after="80" w:before="300"/>
      </w:pPr>
      <w:r>
        <w:rPr>
          <w:rFonts w:ascii="Georgia" w:cs="Georgia" w:eastAsia="Georgia" w:hAnsi="Georgia"/>
          <w:b/>
          <w:bCs/>
          <w:color w:val="2E5FA3"/>
          <w:sz w:val="24"/>
          <w:szCs w:val="24"/>
        </w:rPr>
        <w:t xml:space="preserve">8.2 Promotion Stagnation</w:t>
      </w:r>
    </w:p>
    <w:p>
      <w:pPr>
        <w:spacing w:after="140" w:before="60" w:line="380"/>
        <w:jc w:val="both"/>
      </w:pPr>
      <w:r>
        <w:rPr>
          <w:rFonts w:ascii="Calibri" w:cs="Calibri" w:eastAsia="Calibri" w:hAnsi="Calibri"/>
          <w:b w:val="false"/>
          <w:bCs w:val="false"/>
          <w:i w:val="false"/>
          <w:iCs w:val="false"/>
          <w:color w:val="1A1A1A"/>
          <w:sz w:val="22"/>
          <w:szCs w:val="22"/>
        </w:rPr>
        <w:t xml:space="preserve">Employees who had not received a promotion in four or more years showed an attrition rate approximately six percentage points above the organizational average. This finding suggests that perceived career stagnation is a meaningful push factor. For employees who joined with growth expectations, several years without advancement represents a signal that those expectations will not be met within the organization.</w:t>
      </w:r>
    </w:p>
    <w:p>
      <w:pPr>
        <w:spacing w:after="140" w:before="60" w:line="380"/>
        <w:jc w:val="both"/>
      </w:pPr>
      <w:r>
        <w:rPr>
          <w:rFonts w:ascii="Calibri" w:cs="Calibri" w:eastAsia="Calibri" w:hAnsi="Calibri"/>
          <w:b w:val="false"/>
          <w:bCs w:val="false"/>
          <w:i w:val="false"/>
          <w:iCs w:val="false"/>
          <w:color w:val="1A1A1A"/>
          <w:sz w:val="22"/>
          <w:szCs w:val="22"/>
        </w:rPr>
        <w:t xml:space="preserve">The effect is likely strongest among mid-career employees, those who have accumulated enough experience and organizational knowledge to be genuinely promotable but have not been advanced, and who simultaneously have sufficient market value to find opportunities elsewhere. Identifying and addressing promotion delays in this segment may be one of the highest-leverage retention interventions available.</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9. Workload and Mobility Impact</w:t>
      </w:r>
    </w:p>
    <w:p>
      <w:pPr>
        <w:pStyle w:val="Heading2"/>
        <w:spacing w:after="80" w:before="300"/>
      </w:pPr>
      <w:r>
        <w:rPr>
          <w:rFonts w:ascii="Georgia" w:cs="Georgia" w:eastAsia="Georgia" w:hAnsi="Georgia"/>
          <w:b/>
          <w:bCs/>
          <w:color w:val="2E5FA3"/>
          <w:sz w:val="24"/>
          <w:szCs w:val="24"/>
        </w:rPr>
        <w:t xml:space="preserve">9.1 The Overtime Effect</w:t>
      </w:r>
    </w:p>
    <w:p>
      <w:pPr>
        <w:spacing w:after="140" w:before="60" w:line="380"/>
        <w:jc w:val="both"/>
      </w:pPr>
      <w:r>
        <w:rPr>
          <w:rFonts w:ascii="Calibri" w:cs="Calibri" w:eastAsia="Calibri" w:hAnsi="Calibri"/>
          <w:b w:val="false"/>
          <w:bCs w:val="false"/>
          <w:i w:val="false"/>
          <w:iCs w:val="false"/>
          <w:color w:val="1A1A1A"/>
          <w:sz w:val="22"/>
          <w:szCs w:val="22"/>
        </w:rPr>
        <w:t xml:space="preserve">The overtime analysis produces the study's most unambiguous finding. Employees working overtime leave at a rate of 30.5 percent. Employees not working overtime leave at a rate of 10.4 percent. The ratio between these two rates, approximately 2.9 to 1, represents the largest conditional attrition gap observed anywhere in the dataset.</w:t>
      </w:r>
    </w:p>
    <w:p>
      <w:pPr>
        <w:spacing w:after="140" w:before="60" w:line="380"/>
        <w:jc w:val="both"/>
      </w:pPr>
      <w:r>
        <w:rPr>
          <w:rFonts w:ascii="Calibri" w:cs="Calibri" w:eastAsia="Calibri" w:hAnsi="Calibri"/>
          <w:b w:val="false"/>
          <w:bCs w:val="false"/>
          <w:i w:val="false"/>
          <w:iCs w:val="false"/>
          <w:color w:val="1A1A1A"/>
          <w:sz w:val="22"/>
          <w:szCs w:val="22"/>
        </w:rPr>
        <w:t xml:space="preserve">This finding cannot be explained away by selection effects alone. While it is possible that some high-attrition roles also happen to require more overtime, the effect is consistent enough across departments and roles to indicate that overtime itself is a meaningful independent driver of departure. The causal mechanism is straightforward: sustained overtime increases burnout, erodes work-life balance, compounds the negative effects of other stressors, and ultimately pushes employees toward alternatives that do not impose the same demands on their time.</w:t>
      </w:r>
    </w:p>
    <w:p>
      <w:pPr>
        <w:pStyle w:val="Heading2"/>
        <w:spacing w:after="80" w:before="300"/>
      </w:pPr>
      <w:r>
        <w:rPr>
          <w:rFonts w:ascii="Georgia" w:cs="Georgia" w:eastAsia="Georgia" w:hAnsi="Georgia"/>
          <w:b/>
          <w:bCs/>
          <w:color w:val="2E5FA3"/>
          <w:sz w:val="24"/>
          <w:szCs w:val="24"/>
        </w:rPr>
        <w:t xml:space="preserve">9.2 Business Travel</w:t>
      </w:r>
    </w:p>
    <w:p>
      <w:pPr>
        <w:spacing w:after="140" w:before="60" w:line="380"/>
        <w:jc w:val="both"/>
      </w:pPr>
      <w:r>
        <w:rPr>
          <w:rFonts w:ascii="Calibri" w:cs="Calibri" w:eastAsia="Calibri" w:hAnsi="Calibri"/>
          <w:b w:val="false"/>
          <w:bCs w:val="false"/>
          <w:i w:val="false"/>
          <w:iCs w:val="false"/>
          <w:color w:val="1A1A1A"/>
          <w:sz w:val="22"/>
          <w:szCs w:val="22"/>
        </w:rPr>
        <w:t xml:space="preserve">Frequent business travelers leave at a rate of 24.9 percent, compared to 15.0 percent for those who travel rarely and 8.0 percent for those who do not travel at all. The gradient here mirrors the overtime effect: more mobility demand correlates with more attrition. Frequent travel is a well-documented source of physical strain, family disruption, and perceived work-life imbalance. For employees who are already experiencing other stressors, frequent travel likely acts as a compounding factor rather than a standalone cause.</w:t>
      </w:r>
    </w:p>
    <w:p>
      <w:pPr>
        <w:pStyle w:val="Heading2"/>
        <w:spacing w:after="80" w:before="300"/>
      </w:pPr>
      <w:r>
        <w:rPr>
          <w:rFonts w:ascii="Georgia" w:cs="Georgia" w:eastAsia="Georgia" w:hAnsi="Georgia"/>
          <w:b/>
          <w:bCs/>
          <w:color w:val="2E5FA3"/>
          <w:sz w:val="24"/>
          <w:szCs w:val="24"/>
        </w:rPr>
        <w:t xml:space="preserve">9.3 Distance from Home</w:t>
      </w:r>
    </w:p>
    <w:p>
      <w:pPr>
        <w:spacing w:after="140" w:before="60" w:line="380"/>
        <w:jc w:val="both"/>
      </w:pPr>
      <w:r>
        <w:rPr>
          <w:rFonts w:ascii="Calibri" w:cs="Calibri" w:eastAsia="Calibri" w:hAnsi="Calibri"/>
          <w:b w:val="false"/>
          <w:bCs w:val="false"/>
          <w:i w:val="false"/>
          <w:iCs w:val="false"/>
          <w:color w:val="1A1A1A"/>
          <w:sz w:val="22"/>
          <w:szCs w:val="22"/>
        </w:rPr>
        <w:t xml:space="preserve">Employees living furthest from the workplace show attrition rates approximately four percentage points higher than those living nearby. This effect, while smaller than the overtime and travel impacts, reinforces a consistent theme running through the workload analysis: the total demands placed on an employee's time and energy, whether through hours worked, nights away from home, or commute time, are cumulatively associated with greater likelihood of departure.</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10. Recommendations</w:t>
      </w:r>
    </w:p>
    <w:p>
      <w:pPr>
        <w:pStyle w:val="Heading2"/>
        <w:spacing w:after="80" w:before="300"/>
      </w:pPr>
      <w:r>
        <w:rPr>
          <w:rFonts w:ascii="Georgia" w:cs="Georgia" w:eastAsia="Georgia" w:hAnsi="Georgia"/>
          <w:b/>
          <w:bCs/>
          <w:color w:val="2E5FA3"/>
          <w:sz w:val="24"/>
          <w:szCs w:val="24"/>
        </w:rPr>
        <w:t xml:space="preserve">10.1 Immediate Priorities</w:t>
      </w:r>
    </w:p>
    <w:p>
      <w:pPr>
        <w:spacing w:after="140" w:before="60" w:line="380"/>
        <w:jc w:val="both"/>
      </w:pPr>
      <w:r>
        <w:rPr>
          <w:rFonts w:ascii="Calibri" w:cs="Calibri" w:eastAsia="Calibri" w:hAnsi="Calibri"/>
          <w:b w:val="false"/>
          <w:bCs w:val="false"/>
          <w:i w:val="false"/>
          <w:iCs w:val="false"/>
          <w:color w:val="1A1A1A"/>
          <w:sz w:val="22"/>
          <w:szCs w:val="22"/>
        </w:rPr>
        <w:t xml:space="preserve">Based on the findings, the following actions are recommended for immediate consideration:</w:t>
      </w:r>
    </w:p>
    <w:p>
      <w:pPr>
        <w:pStyle w:val="ListParagraph"/>
        <w:numPr>
          <w:ilvl w:val="0"/>
          <w:numId w:val="2"/>
        </w:numPr>
        <w:spacing w:after="40" w:before="40" w:line="340"/>
      </w:pPr>
      <w:r>
        <w:rPr>
          <w:rFonts w:ascii="Calibri" w:cs="Calibri" w:eastAsia="Calibri" w:hAnsi="Calibri"/>
          <w:color w:val="1A1A1A"/>
          <w:sz w:val="22"/>
          <w:szCs w:val="22"/>
        </w:rPr>
        <w:t xml:space="preserve">Address Sales Representative attrition as a business continuity issue. An exit rate of 39.8 percent is not a retention challenge. It is a structural failure that requires a dedicated task force examining compensation benchmarking, role design, workload distribution, and career pathway clarity within the Sales function specifically.</w:t>
      </w:r>
    </w:p>
    <w:p>
      <w:pPr>
        <w:pStyle w:val="ListParagraph"/>
        <w:numPr>
          <w:ilvl w:val="0"/>
          <w:numId w:val="2"/>
        </w:numPr>
        <w:spacing w:after="40" w:before="40" w:line="340"/>
      </w:pPr>
      <w:r>
        <w:rPr>
          <w:rFonts w:ascii="Calibri" w:cs="Calibri" w:eastAsia="Calibri" w:hAnsi="Calibri"/>
          <w:color w:val="1A1A1A"/>
          <w:sz w:val="22"/>
          <w:szCs w:val="22"/>
        </w:rPr>
        <w:t xml:space="preserve">Implement an overtime monitoring and cap policy. The 2.9 times attrition multiplier associated with overtime makes this the single highest-leverage intervention available. A policy that flags employees consistently working overtime and triggers a management conversation before burnout manifests would address the problem at the source rather than at the exit door.</w:t>
      </w:r>
    </w:p>
    <w:p>
      <w:pPr>
        <w:pStyle w:val="ListParagraph"/>
        <w:numPr>
          <w:ilvl w:val="0"/>
          <w:numId w:val="2"/>
        </w:numPr>
        <w:spacing w:after="40" w:before="40" w:line="340"/>
      </w:pPr>
      <w:r>
        <w:rPr>
          <w:rFonts w:ascii="Calibri" w:cs="Calibri" w:eastAsia="Calibri" w:hAnsi="Calibri"/>
          <w:color w:val="1A1A1A"/>
          <w:sz w:val="22"/>
          <w:szCs w:val="22"/>
        </w:rPr>
        <w:t xml:space="preserve">Redesign the onboarding experience for the first 12 to 24 months. The 29.8 percent early-tenure attrition rate indicates that the current onboarding experience is not generating the attachment and engagement needed to convert new hires into long-term contributors. Structured mentorship, 90-day check-ins, clear short-term milestones, and early exposure to growth opportunities are interventions with strong evidence bases.</w:t>
      </w:r>
    </w:p>
    <w:p>
      <w:pPr>
        <w:pStyle w:val="Heading2"/>
        <w:spacing w:after="80" w:before="300"/>
      </w:pPr>
      <w:r>
        <w:rPr>
          <w:rFonts w:ascii="Georgia" w:cs="Georgia" w:eastAsia="Georgia" w:hAnsi="Georgia"/>
          <w:b/>
          <w:bCs/>
          <w:color w:val="2E5FA3"/>
          <w:sz w:val="24"/>
          <w:szCs w:val="24"/>
        </w:rPr>
        <w:t xml:space="preserve">10.2 Medium-Term Interventions</w:t>
      </w:r>
    </w:p>
    <w:p>
      <w:pPr>
        <w:pStyle w:val="ListParagraph"/>
        <w:numPr>
          <w:ilvl w:val="0"/>
          <w:numId w:val="2"/>
        </w:numPr>
        <w:spacing w:after="40" w:before="40" w:line="340"/>
      </w:pPr>
      <w:r>
        <w:rPr>
          <w:rFonts w:ascii="Calibri" w:cs="Calibri" w:eastAsia="Calibri" w:hAnsi="Calibri"/>
          <w:color w:val="1A1A1A"/>
          <w:sz w:val="22"/>
          <w:szCs w:val="22"/>
        </w:rPr>
        <w:t xml:space="preserve">Conduct a promotion audit for stagnant mid-career employees. Identify employees who have been in the same role for four or more years, assess their advancement readiness, and create specific development plans with clear promotion criteria. This does not require promoting everyone. It requires making advancement expectations transparent and credible.</w:t>
      </w:r>
    </w:p>
    <w:p>
      <w:pPr>
        <w:pStyle w:val="ListParagraph"/>
        <w:numPr>
          <w:ilvl w:val="0"/>
          <w:numId w:val="2"/>
        </w:numPr>
        <w:spacing w:after="40" w:before="40" w:line="340"/>
      </w:pPr>
      <w:r>
        <w:rPr>
          <w:rFonts w:ascii="Calibri" w:cs="Calibri" w:eastAsia="Calibri" w:hAnsi="Calibri"/>
          <w:color w:val="1A1A1A"/>
          <w:sz w:val="22"/>
          <w:szCs w:val="22"/>
        </w:rPr>
        <w:t xml:space="preserve">Review compensation for Laboratory Technicians, HR staff, and Sales Representatives against current market rates. The income distribution analysis suggests that below-market compensation is a contributing factor, and all three of these high-attrition roles warrant a targeted pay review.</w:t>
      </w:r>
    </w:p>
    <w:p>
      <w:pPr>
        <w:pStyle w:val="ListParagraph"/>
        <w:numPr>
          <w:ilvl w:val="0"/>
          <w:numId w:val="2"/>
        </w:numPr>
        <w:spacing w:after="40" w:before="40" w:line="340"/>
      </w:pPr>
      <w:r>
        <w:rPr>
          <w:rFonts w:ascii="Calibri" w:cs="Calibri" w:eastAsia="Calibri" w:hAnsi="Calibri"/>
          <w:color w:val="1A1A1A"/>
          <w:sz w:val="22"/>
          <w:szCs w:val="22"/>
        </w:rPr>
        <w:t xml:space="preserve">Introduce flexibility options for employees with long commutes. Remote work arrangements or flexible scheduling for employees in the far distance band could reduce the marginal attrition pressure associated with long commutes without requiring relocation or office changes.</w:t>
      </w:r>
    </w:p>
    <w:p>
      <w:pPr>
        <w:pStyle w:val="Heading2"/>
        <w:spacing w:after="80" w:before="300"/>
      </w:pPr>
      <w:r>
        <w:rPr>
          <w:rFonts w:ascii="Georgia" w:cs="Georgia" w:eastAsia="Georgia" w:hAnsi="Georgia"/>
          <w:b/>
          <w:bCs/>
          <w:color w:val="2E5FA3"/>
          <w:sz w:val="24"/>
          <w:szCs w:val="24"/>
        </w:rPr>
        <w:t xml:space="preserve">10.3 Structural Considerations</w:t>
      </w:r>
    </w:p>
    <w:p>
      <w:pPr>
        <w:pStyle w:val="ListParagraph"/>
        <w:numPr>
          <w:ilvl w:val="0"/>
          <w:numId w:val="2"/>
        </w:numPr>
        <w:spacing w:after="40" w:before="40" w:line="340"/>
      </w:pPr>
      <w:r>
        <w:rPr>
          <w:rFonts w:ascii="Calibri" w:cs="Calibri" w:eastAsia="Calibri" w:hAnsi="Calibri"/>
          <w:color w:val="1A1A1A"/>
          <w:sz w:val="22"/>
          <w:szCs w:val="22"/>
        </w:rPr>
        <w:t xml:space="preserve">Build a predictive early warning system. The patterns identified in this study, overtime participation, tenure band, promotion recency, satisfaction scores, and distance from home, form a reasonable basis for an employee risk scoring model that could be operationalized through the HR information system. Employees with multiple risk indicators could be flagged for proactive engagement conversations before departure becomes likely.</w:t>
      </w:r>
    </w:p>
    <w:p>
      <w:pPr>
        <w:pStyle w:val="ListParagraph"/>
        <w:numPr>
          <w:ilvl w:val="0"/>
          <w:numId w:val="2"/>
        </w:numPr>
        <w:spacing w:after="40" w:before="40" w:line="340"/>
      </w:pPr>
      <w:r>
        <w:rPr>
          <w:rFonts w:ascii="Calibri" w:cs="Calibri" w:eastAsia="Calibri" w:hAnsi="Calibri"/>
          <w:color w:val="1A1A1A"/>
          <w:sz w:val="22"/>
          <w:szCs w:val="22"/>
        </w:rPr>
        <w:t xml:space="preserve">Track attrition by role quarterly rather than annually. Annual reporting of aggregate attrition masks emerging hotspots until they have already become severe. Role-level quarterly tracking would provide earlier signals, particularly for the Sales Representative cohort where turnover appears to be structurally elevated.</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11. Conclusion</w:t>
      </w:r>
    </w:p>
    <w:p>
      <w:pPr>
        <w:spacing w:after="140" w:before="60" w:line="380"/>
        <w:jc w:val="both"/>
      </w:pPr>
      <w:r>
        <w:rPr>
          <w:rFonts w:ascii="Calibri" w:cs="Calibri" w:eastAsia="Calibri" w:hAnsi="Calibri"/>
          <w:b w:val="false"/>
          <w:bCs w:val="false"/>
          <w:i w:val="false"/>
          <w:iCs w:val="false"/>
          <w:color w:val="1A1A1A"/>
          <w:sz w:val="22"/>
          <w:szCs w:val="22"/>
        </w:rPr>
        <w:t xml:space="preserve">The headline attrition rate of 16.1 percent at Palo Alto Networks sits in a zone that might not, on its own, trigger alarm. But this study has demonstrated that behind that average lies a set of structural conditions that warrant serious attention. A Sales Representative exit rate approaching 40 percent is a business continuity problem. An overtime multiplier of nearly three represents a workload policy that is actively destroying retention. A first-year attrition rate of close to 30 percent suggests that the organization is spending significantly on recruitment and onboarding while consistently failing to realize the long-term return on that investment.</w:t>
      </w:r>
    </w:p>
    <w:p>
      <w:pPr>
        <w:spacing w:after="140" w:before="60" w:line="380"/>
        <w:jc w:val="both"/>
      </w:pPr>
      <w:r>
        <w:rPr>
          <w:rFonts w:ascii="Calibri" w:cs="Calibri" w:eastAsia="Calibri" w:hAnsi="Calibri"/>
          <w:b w:val="false"/>
          <w:bCs w:val="false"/>
          <w:i w:val="false"/>
          <w:iCs w:val="false"/>
          <w:color w:val="1A1A1A"/>
          <w:sz w:val="22"/>
          <w:szCs w:val="22"/>
        </w:rPr>
        <w:t xml:space="preserve">The good news is that these patterns are visible, which means they are addressable. The factors associated with attrition in this dataset, overtime, early tenure, stagnant promotion trajectories, low satisfaction scores, high travel demands, are not mysterious forces. They are organizational conditions that can be monitored, measured, and changed. The recommendations in this paper are not aspirational. They are grounded in the specific patterns of departure observed in this organization's own data.</w:t>
      </w:r>
    </w:p>
    <w:p>
      <w:pPr>
        <w:spacing w:after="140" w:before="60" w:line="380"/>
        <w:jc w:val="both"/>
      </w:pPr>
      <w:r>
        <w:rPr>
          <w:rFonts w:ascii="Calibri" w:cs="Calibri" w:eastAsia="Calibri" w:hAnsi="Calibri"/>
          <w:b w:val="false"/>
          <w:bCs w:val="false"/>
          <w:i w:val="false"/>
          <w:iCs w:val="false"/>
          <w:color w:val="1A1A1A"/>
          <w:sz w:val="22"/>
          <w:szCs w:val="22"/>
        </w:rPr>
        <w:t xml:space="preserve">What this analysis cannot do, by itself, is sustain change. The findings here need to move from a document into a decision, from a decision into a policy, and from a policy into a practice. The organizations that consistently achieve below-average attrition in competitive talent markets are not the ones that conduct the best analyses. They are the ones that act on them.</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References</w:t>
      </w:r>
    </w:p>
    <w:p>
      <w:pPr>
        <w:spacing w:after="140" w:before="60" w:line="380"/>
        <w:jc w:val="both"/>
      </w:pPr>
      <w:r>
        <w:rPr>
          <w:rFonts w:ascii="Calibri" w:cs="Calibri" w:eastAsia="Calibri" w:hAnsi="Calibri"/>
          <w:b w:val="false"/>
          <w:bCs w:val="false"/>
          <w:i w:val="false"/>
          <w:iCs w:val="false"/>
          <w:color w:val="1A1A1A"/>
          <w:sz w:val="22"/>
          <w:szCs w:val="22"/>
        </w:rPr>
        <w:t xml:space="preserve">SHRM (Society for Human Resource Management). (2023). Employee Job Satisfaction and Engagement Report. Alexandria, VA: SHRM Publishing.</w:t>
      </w:r>
    </w:p>
    <w:p>
      <w:pPr>
        <w:spacing w:after="140" w:before="60" w:line="380"/>
        <w:jc w:val="both"/>
      </w:pPr>
      <w:r>
        <w:rPr>
          <w:rFonts w:ascii="Calibri" w:cs="Calibri" w:eastAsia="Calibri" w:hAnsi="Calibri"/>
          <w:b w:val="false"/>
          <w:bCs w:val="false"/>
          <w:i w:val="false"/>
          <w:iCs w:val="false"/>
          <w:color w:val="1A1A1A"/>
          <w:sz w:val="22"/>
          <w:szCs w:val="22"/>
        </w:rPr>
        <w:t xml:space="preserve">Bureau of Labor Statistics. (2024). Job Openings and Labor Turnover Survey (JOLTS). U.S. Department of Labor, Washington, D.C.</w:t>
      </w:r>
    </w:p>
    <w:p>
      <w:pPr>
        <w:spacing w:after="140" w:before="60" w:line="380"/>
        <w:jc w:val="both"/>
      </w:pPr>
      <w:r>
        <w:rPr>
          <w:rFonts w:ascii="Calibri" w:cs="Calibri" w:eastAsia="Calibri" w:hAnsi="Calibri"/>
          <w:b w:val="false"/>
          <w:bCs w:val="false"/>
          <w:i w:val="false"/>
          <w:iCs w:val="false"/>
          <w:color w:val="1A1A1A"/>
          <w:sz w:val="22"/>
          <w:szCs w:val="22"/>
        </w:rPr>
        <w:t xml:space="preserve">Cascio, W. F. (2006). The Economic Impact of Employee Behaviors on Organizational Performance. California Management Review, 48(4), 41-59.</w:t>
      </w:r>
    </w:p>
    <w:p>
      <w:pPr>
        <w:spacing w:after="140" w:before="60" w:line="380"/>
        <w:jc w:val="both"/>
      </w:pPr>
      <w:r>
        <w:rPr>
          <w:rFonts w:ascii="Calibri" w:cs="Calibri" w:eastAsia="Calibri" w:hAnsi="Calibri"/>
          <w:b w:val="false"/>
          <w:bCs w:val="false"/>
          <w:i w:val="false"/>
          <w:iCs w:val="false"/>
          <w:color w:val="1A1A1A"/>
          <w:sz w:val="22"/>
          <w:szCs w:val="22"/>
        </w:rPr>
        <w:t xml:space="preserve">Hausknecht, J. P., &amp; Holwerda, J. A. (2013). When does employee turnover matter? Dynamic member configurations, productive capacity, and collective performance. Organization Science, 24(1), 210-225.</w:t>
      </w:r>
    </w:p>
    <w:p>
      <w:pPr>
        <w:spacing w:after="140" w:before="60" w:line="380"/>
        <w:jc w:val="both"/>
      </w:pPr>
      <w:r>
        <w:rPr>
          <w:rFonts w:ascii="Calibri" w:cs="Calibri" w:eastAsia="Calibri" w:hAnsi="Calibri"/>
          <w:b w:val="false"/>
          <w:bCs w:val="false"/>
          <w:i w:val="false"/>
          <w:iCs w:val="false"/>
          <w:color w:val="1A1A1A"/>
          <w:sz w:val="22"/>
          <w:szCs w:val="22"/>
        </w:rPr>
        <w:t xml:space="preserve">ISC2 Cybersecurity Workforce Study. (2023). The Cybersecurity Workforce Gap. International Information System Security Certification Consortium.</w:t>
      </w:r>
    </w:p>
    <w:p>
      <w:pPr>
        <w:spacing w:after="140" w:before="60" w:line="380"/>
        <w:jc w:val="both"/>
      </w:pPr>
      <w:r>
        <w:rPr>
          <w:rFonts w:ascii="Calibri" w:cs="Calibri" w:eastAsia="Calibri" w:hAnsi="Calibri"/>
          <w:b w:val="false"/>
          <w:bCs w:val="false"/>
          <w:i w:val="false"/>
          <w:iCs w:val="false"/>
          <w:color w:val="1A1A1A"/>
          <w:sz w:val="22"/>
          <w:szCs w:val="22"/>
        </w:rPr>
        <w:t xml:space="preserve">Hom, P. W., Lee, T. W., Shaw, J. D., &amp; Hausknecht, J. P. (2017). One Hundred Years of Employee Turnover Theory and Research. Journal of Applied Psychology, 102(3), 530-545.</w:t>
      </w:r>
    </w:p>
    <w:p>
      <w:pPr>
        <w:spacing w:after="100" w:before="0"/>
      </w:pPr>
      <w:r>
        <w:rPr>
          <w:rFonts w:ascii="Calibri" w:cs="Calibri" w:eastAsia="Calibri" w:hAnsi="Calibri"/>
          <w:sz w:val="22"/>
          <w:szCs w:val="22"/>
        </w:rPr>
        <w:t xml:space="preserve"/>
      </w:r>
    </w:p>
    <w:p>
      <w:pPr>
        <w:pStyle w:val="Heading1"/>
        <w:pBdr>
          <w:bottom w:val="single" w:color="2E5FA3" w:sz="10" w:space="4"/>
        </w:pBdr>
        <w:spacing w:after="120" w:before="400"/>
      </w:pPr>
      <w:r>
        <w:rPr>
          <w:rFonts w:ascii="Georgia" w:cs="Georgia" w:eastAsia="Georgia" w:hAnsi="Georgia"/>
          <w:b/>
          <w:bCs/>
          <w:color w:val="1E3A5F"/>
          <w:sz w:val="28"/>
          <w:szCs w:val="28"/>
        </w:rPr>
        <w:t xml:space="preserve">Appendix: Summary of Attrition Rates by Subgroup</w:t>
      </w:r>
    </w:p>
    <w:p>
      <w:pPr>
        <w:spacing w:after="10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Subgroup</w:t>
            </w:r>
          </w:p>
        </w:tc>
        <w:tc>
          <w:tcPr>
            <w:tcW w:type="dxa" w:w="26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Category</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Attrition Rate</w:t>
            </w:r>
          </w:p>
        </w:tc>
        <w:tc>
          <w:tcPr>
            <w:tcW w:type="dxa" w:w="23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vs. Org Avg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Department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Sales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20.6%</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+4.5pp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Department</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Human Resources</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19.0%</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+2.9pp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Department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Research &amp; Development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13.8%</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-2.3pp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Job Role</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Sales Representative</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39.8%</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+23.7pp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Job Role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Laboratory Technician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23.9%</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+7.8pp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Job Role</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Human Resources</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23.1%</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+7.0pp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Age Group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18-25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35.8%</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+19.7pp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Age Group</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26-35</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20.1%</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+4.0pp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Age Group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36-45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10.2%</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-5.9pp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Marital Status</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Single</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25.5%</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+9.4pp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Marital Status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Married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12.0%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-4.1pp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Overtime</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Yes</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30.5%</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+14.4pp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Overtime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10.4%</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-5.7pp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Business Travel</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Frequently</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24.9%</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+8.8pp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Business Travel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Rarely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15.0%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-1.1pp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Business Travel</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Non-Travel</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8.0%</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-8.1pp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Tenure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0-2 Years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29.8%</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+13.7pp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Tenure</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3-5 Years</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15.5%</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-0.6pp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Tenure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6-10 Years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10.3%</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-5.8pp</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Tenure</w:t>
            </w:r>
          </w:p>
        </w:tc>
        <w:tc>
          <w:tcPr>
            <w:tcW w:type="dxa" w:w="26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11-20 Years</w:t>
            </w:r>
          </w:p>
        </w:tc>
        <w:tc>
          <w:tcPr>
            <w:tcW w:type="dxa" w:w="200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7.9%</w:t>
            </w:r>
          </w:p>
        </w:tc>
        <w:tc>
          <w:tcPr>
            <w:tcW w:type="dxa" w:w="2360"/>
            <w:tcBorders>
              <w:top w:val="single" w:color="DDDDDD" w:sz="1"/>
              <w:left w:val="single" w:color="DDDDDD" w:sz="1"/>
              <w:bottom w:val="single" w:color="DDDDDD" w:sz="1"/>
              <w:right w:val="single" w:color="DDDDDD" w:sz="1"/>
            </w:tcBorders>
            <w:shd w:fill="F7F8FA" w:val="clear"/>
            <w:tcMar>
              <w:top w:type="dxa" w:w="80"/>
              <w:left w:type="dxa" w:w="140"/>
              <w:bottom w:type="dxa" w:w="80"/>
              <w:right w:type="dxa" w:w="140"/>
            </w:tcMar>
          </w:tcPr>
          <w:p>
            <w:r>
              <w:rPr>
                <w:rFonts w:ascii="Calibri" w:cs="Calibri" w:eastAsia="Calibri" w:hAnsi="Calibri"/>
                <w:color w:val="1A1A1A"/>
                <w:sz w:val="20"/>
                <w:szCs w:val="20"/>
              </w:rPr>
              <w:t xml:space="preserve">-8.2pp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color w:val="1E3A5F"/>
      <w:sz w:val="28"/>
      <w:szCs w:val="28"/>
    </w:rPr>
  </w:style>
  <w:style w:type="paragraph" w:styleId="Heading2">
    <w:name w:val="Heading 2"/>
    <w:basedOn w:val="Normal"/>
    <w:next w:val="Normal"/>
    <w:qFormat/>
    <w:pPr>
      <w:spacing w:after="80" w:before="300"/>
      <w:outlineLvl w:val="1"/>
    </w:pPr>
    <w:rPr>
      <w:rFonts w:ascii="Georgia" w:cs="Georgia" w:eastAsia="Georgia" w:hAnsi="Georgia"/>
      <w:b/>
      <w:bCs/>
      <w:color w:val="2E5FA3"/>
      <w:sz w:val="24"/>
      <w:szCs w:val="24"/>
    </w:rPr>
  </w:style>
  <w:style w:type="paragraph" w:styleId="Heading3">
    <w:name w:val="Heading 3"/>
    <w:basedOn w:val="Normal"/>
    <w:next w:val="Normal"/>
    <w:qFormat/>
    <w:pPr>
      <w:spacing w:after="60" w:before="22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2026-05-21T04:51:37.698Z</dcterms:created>
  <dcterms:modified xsi:type="dcterms:W3CDTF">2026-05-21T04:51:37.711Z</dcterms:modified>
</cp:coreProperties>
</file>

<file path=docProps/custom.xml><?xml version="1.0" encoding="utf-8"?>
<Properties xmlns="http://schemas.openxmlformats.org/officeDocument/2006/custom-properties" xmlns:vt="http://schemas.openxmlformats.org/officeDocument/2006/docPropsVTypes"/>
</file>