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sz w:val="22"/>
          <w:szCs w:val="22"/>
        </w:rPr>
        <w:t xml:space="preserve"/>
      </w:r>
    </w:p>
    <w:p>
      <w:pPr>
        <w:spacing w:after="60" w:before="0"/>
        <w:jc w:val="center"/>
      </w:pPr>
      <w:r>
        <w:rPr>
          <w:rFonts w:ascii="Arial" w:cs="Arial" w:eastAsia="Arial" w:hAnsi="Arial"/>
          <w:b/>
          <w:bCs/>
          <w:color w:val="4B5563"/>
          <w:sz w:val="20"/>
          <w:szCs w:val="20"/>
        </w:rPr>
        <w:t xml:space="preserve">U.S. DEPARTMENT OF HEALTH AND HUMAN SERVICES</w:t>
      </w:r>
    </w:p>
    <w:p>
      <w:pPr>
        <w:spacing w:after="60" w:before="0"/>
        <w:jc w:val="center"/>
      </w:pPr>
      <w:r>
        <w:rPr>
          <w:rFonts w:ascii="Arial" w:cs="Arial" w:eastAsia="Arial" w:hAnsi="Arial"/>
          <w:color w:val="4B5563"/>
          <w:sz w:val="20"/>
          <w:szCs w:val="20"/>
        </w:rPr>
        <w:t xml:space="preserve">Office of Refugee Resettlement</w:t>
      </w:r>
    </w:p>
    <w:p>
      <w:pPr>
        <w:spacing w:after="160" w:before="0"/>
      </w:pPr>
      <w:r>
        <w:rPr>
          <w:rFonts w:ascii="Arial" w:cs="Arial" w:eastAsia="Arial" w:hAnsi="Arial"/>
          <w:sz w:val="22"/>
          <w:szCs w:val="22"/>
        </w:rPr>
        <w:t xml:space="preserve"/>
      </w:r>
    </w:p>
    <w:p>
      <w:pPr>
        <w:pBdr>
          <w:bottom w:val="single" w:color="1B3A6B" w:sz="12" w:space="8"/>
        </w:pBdr>
        <w:spacing w:after="120" w:before="0"/>
        <w:jc w:val="center"/>
      </w:pPr>
      <w:r>
        <w:rPr>
          <w:rFonts w:ascii="Arial" w:cs="Arial" w:eastAsia="Arial" w:hAnsi="Arial"/>
          <w:b/>
          <w:bCs/>
          <w:color w:val="1B3A6B"/>
          <w:sz w:val="52"/>
          <w:szCs w:val="52"/>
        </w:rPr>
        <w:t xml:space="preserve">Unaccompanied Alien Children</w:t>
      </w:r>
    </w:p>
    <w:p>
      <w:pPr>
        <w:spacing w:after="240" w:before="120"/>
        <w:jc w:val="center"/>
      </w:pPr>
      <w:r>
        <w:rPr>
          <w:rFonts w:ascii="Arial" w:cs="Arial" w:eastAsia="Arial" w:hAnsi="Arial"/>
          <w:b/>
          <w:bCs/>
          <w:color w:val="2E5FA3"/>
          <w:sz w:val="36"/>
          <w:szCs w:val="36"/>
        </w:rPr>
        <w:t xml:space="preserve">Care Pipeline Process Efficiency and Outcome Analytics</w:t>
      </w:r>
    </w:p>
    <w:p>
      <w:pPr>
        <w:spacing w:after="80" w:before="0"/>
      </w:pPr>
      <w:r>
        <w:rPr>
          <w:rFonts w:ascii="Arial" w:cs="Arial" w:eastAsia="Arial" w:hAnsi="Arial"/>
          <w:sz w:val="22"/>
          <w:szCs w:val="22"/>
        </w:rPr>
        <w:t xml:space="preserve"/>
      </w:r>
    </w:p>
    <w:p>
      <w:pPr>
        <w:spacing w:after="60" w:before="0"/>
        <w:jc w:val="center"/>
      </w:pPr>
      <w:r>
        <w:rPr>
          <w:rFonts w:ascii="Arial" w:cs="Arial" w:eastAsia="Arial" w:hAnsi="Arial"/>
          <w:i/>
          <w:iCs/>
          <w:color w:val="4B5563"/>
          <w:sz w:val="24"/>
          <w:szCs w:val="24"/>
        </w:rPr>
        <w:t xml:space="preserve">A Comprehensive Research Study</w:t>
      </w:r>
    </w:p>
    <w:p>
      <w:pPr>
        <w:spacing w:after="160" w:before="0"/>
      </w:pPr>
      <w:r>
        <w:rPr>
          <w:rFonts w:ascii="Arial" w:cs="Arial" w:eastAsia="Arial" w:hAnsi="Arial"/>
          <w:sz w:val="22"/>
          <w:szCs w:val="22"/>
        </w:rPr>
        <w:t xml:space="preserve"/>
      </w:r>
    </w:p>
    <w:p>
      <w:pPr>
        <w:spacing w:after="40" w:before="0"/>
        <w:jc w:val="center"/>
      </w:pPr>
      <w:r>
        <w:rPr>
          <w:rFonts w:ascii="Arial" w:cs="Arial" w:eastAsia="Arial" w:hAnsi="Arial"/>
          <w:b/>
          <w:bCs/>
          <w:color w:val="111827"/>
          <w:sz w:val="22"/>
          <w:szCs w:val="22"/>
        </w:rPr>
        <w:t xml:space="preserve">Reporting Period:</w:t>
      </w:r>
    </w:p>
    <w:p>
      <w:pPr>
        <w:spacing w:after="40" w:before="0"/>
        <w:jc w:val="center"/>
      </w:pPr>
      <w:r>
        <w:rPr>
          <w:rFonts w:ascii="Arial" w:cs="Arial" w:eastAsia="Arial" w:hAnsi="Arial"/>
          <w:color w:val="111827"/>
          <w:sz w:val="22"/>
          <w:szCs w:val="22"/>
        </w:rPr>
        <w:t xml:space="preserve">January 12, 2023 – December 21, 2025</w:t>
      </w:r>
    </w:p>
    <w:p>
      <w:pPr>
        <w:spacing w:after="40" w:before="0"/>
        <w:jc w:val="center"/>
      </w:pPr>
      <w:r>
        <w:rPr>
          <w:rFonts w:ascii="Arial" w:cs="Arial" w:eastAsia="Arial" w:hAnsi="Arial"/>
          <w:color w:val="111827"/>
          <w:sz w:val="22"/>
          <w:szCs w:val="22"/>
        </w:rPr>
        <w:t xml:space="preserve">Data Source: HHS / ORR Operations Database</w:t>
      </w:r>
    </w:p>
    <w:p>
      <w:pPr>
        <w:spacing w:after="40" w:before="0"/>
        <w:jc w:val="center"/>
      </w:pPr>
      <w:r>
        <w:rPr>
          <w:rFonts w:ascii="Arial" w:cs="Arial" w:eastAsia="Arial" w:hAnsi="Arial"/>
          <w:color w:val="111827"/>
          <w:sz w:val="22"/>
          <w:szCs w:val="22"/>
        </w:rPr>
        <w:t xml:space="preserve">Total Records Analyzed: 720 Daily Observations</w:t>
      </w:r>
    </w:p>
    <w:p>
      <w:r>
        <w:br w:type="page"/>
      </w:r>
    </w:p>
    <w:p>
      <w:pPr>
        <w:pStyle w:val="Heading1"/>
        <w:pBdr>
          <w:bottom w:val="single" w:color="2E5FA3" w:sz="8" w:space="4"/>
        </w:pBdr>
        <w:spacing w:after="120" w:before="360"/>
      </w:pPr>
      <w:r>
        <w:rPr>
          <w:rFonts w:ascii="Arial" w:cs="Arial" w:eastAsia="Arial" w:hAnsi="Arial"/>
          <w:b/>
          <w:bCs/>
          <w:color w:val="1B3A6B"/>
          <w:sz w:val="30"/>
          <w:szCs w:val="30"/>
        </w:rPr>
        <w:t xml:space="preserve">Abstract</w:t>
      </w:r>
    </w:p>
    <w:p>
      <w:pPr>
        <w:spacing w:after="120" w:before="60" w:line="360"/>
        <w:jc w:val="both"/>
      </w:pPr>
      <w:r>
        <w:rPr>
          <w:rFonts w:ascii="Arial" w:cs="Arial" w:eastAsia="Arial" w:hAnsi="Arial"/>
          <w:b w:val="false"/>
          <w:bCs w:val="false"/>
          <w:i w:val="false"/>
          <w:iCs w:val="false"/>
          <w:color w:val="111827"/>
          <w:sz w:val="22"/>
          <w:szCs w:val="22"/>
        </w:rPr>
        <w:t xml:space="preserve">The Unaccompanied Alien Children (UAC) Program managed by the U.S. Department of Health and Human Services (HHS), Office of Refugee Resettlement (ORR), is one of the most operationally complex child welfare systems in the United States. Every day, children who arrive at the border without a parent or legal guardian are processed through a multi-stage pipeline that moves them from Customs and Border Protection (CBP) custody through HHS care facilities and ultimately into the homes of vetted sponsors. Despite the scale and urgency of this system, very little attention has been paid to how efficiently children actually move through it.</w:t>
      </w:r>
    </w:p>
    <w:p>
      <w:pPr>
        <w:spacing w:after="120" w:before="60" w:line="360"/>
        <w:jc w:val="both"/>
      </w:pPr>
      <w:r>
        <w:rPr>
          <w:rFonts w:ascii="Arial" w:cs="Arial" w:eastAsia="Arial" w:hAnsi="Arial"/>
          <w:b w:val="false"/>
          <w:bCs w:val="false"/>
          <w:i w:val="false"/>
          <w:iCs w:val="false"/>
          <w:color w:val="111827"/>
          <w:sz w:val="22"/>
          <w:szCs w:val="22"/>
        </w:rPr>
        <w:t xml:space="preserve">This research paper presents a data-driven process efficiency analysis of the UAC care pipeline using daily operational data spanning nearly three years, from January 2023 through December 2025. Rather than simply reporting on how many children were in the system at any given time, this study introduces a set of derived Key Performance Indicators (KPIs) that reframe the data around movement, speed, and outcome quality. These include the Transfer Efficiency Ratio, Discharge Effectiveness Index, Pipeline Throughput Rate, Backlog Accumulation Rate, and an Outcome Stability Score.</w:t>
      </w:r>
    </w:p>
    <w:p>
      <w:pPr>
        <w:spacing w:after="120" w:before="60" w:line="360"/>
        <w:jc w:val="both"/>
      </w:pPr>
      <w:r>
        <w:rPr>
          <w:rFonts w:ascii="Arial" w:cs="Arial" w:eastAsia="Arial" w:hAnsi="Arial"/>
          <w:b w:val="false"/>
          <w:bCs w:val="false"/>
          <w:i w:val="false"/>
          <w:iCs w:val="false"/>
          <w:color w:val="111827"/>
          <w:sz w:val="22"/>
          <w:szCs w:val="22"/>
        </w:rPr>
        <w:t xml:space="preserve">Our findings reveal meaningful improvements over the study period, particularly a dramatic reduction in the HHS care load from a peak of 11,516 children in late 2023 to well under 3,000 by 2025. At the same time, the analysis surfaces important concerns around discharge consistency, operational gaps on weekends and Fridays, and periods of sustained backlog accumulation that represent real delays in reunification for vulnerable children. The paper concludes with evidence-based policy recommendations aimed at reducing average care duration, stabilizing discharge patterns, and improving the speed of the CBP-to-HHS handoff.</w:t>
      </w:r>
    </w:p>
    <w:p>
      <w:pPr>
        <w:spacing w:after="80" w:before="0"/>
      </w:pPr>
      <w:r>
        <w:rPr>
          <w:rFonts w:ascii="Arial" w:cs="Arial" w:eastAsia="Arial" w:hAnsi="Arial"/>
          <w:sz w:val="22"/>
          <w:szCs w:val="22"/>
        </w:rPr>
        <w:t xml:space="preserve"/>
      </w:r>
    </w:p>
    <w:p>
      <w:pPr>
        <w:pStyle w:val="Heading1"/>
        <w:pBdr>
          <w:bottom w:val="single" w:color="2E5FA3" w:sz="8" w:space="4"/>
        </w:pBdr>
        <w:spacing w:after="120" w:before="360"/>
      </w:pPr>
      <w:r>
        <w:rPr>
          <w:rFonts w:ascii="Arial" w:cs="Arial" w:eastAsia="Arial" w:hAnsi="Arial"/>
          <w:b/>
          <w:bCs/>
          <w:color w:val="1B3A6B"/>
          <w:sz w:val="30"/>
          <w:szCs w:val="30"/>
        </w:rPr>
        <w:t xml:space="preserve">1. Introduction</w:t>
      </w:r>
    </w:p>
    <w:p>
      <w:pPr>
        <w:spacing w:after="120" w:before="60" w:line="360"/>
        <w:jc w:val="both"/>
      </w:pPr>
      <w:r>
        <w:rPr>
          <w:rFonts w:ascii="Arial" w:cs="Arial" w:eastAsia="Arial" w:hAnsi="Arial"/>
          <w:b w:val="false"/>
          <w:bCs w:val="false"/>
          <w:i w:val="false"/>
          <w:iCs w:val="false"/>
          <w:color w:val="111827"/>
          <w:sz w:val="22"/>
          <w:szCs w:val="22"/>
        </w:rPr>
        <w:t xml:space="preserve">When a child arrives at the U.S. southern border without a parent or legal guardian, they enter one of the most sensitive and closely watched government care systems in existence. The Unaccompanied Alien Children program, operated jointly by Customs and Border Protection and the Department of Health and Human Services, exists to ensure that these children are housed safely, screened medically, supported through case management, and reunited with family members or sponsors as quickly as possible.</w:t>
      </w:r>
    </w:p>
    <w:p>
      <w:pPr>
        <w:spacing w:after="120" w:before="60" w:line="360"/>
        <w:jc w:val="both"/>
      </w:pPr>
      <w:r>
        <w:rPr>
          <w:rFonts w:ascii="Arial" w:cs="Arial" w:eastAsia="Arial" w:hAnsi="Arial"/>
          <w:b w:val="false"/>
          <w:bCs w:val="false"/>
          <w:i w:val="false"/>
          <w:iCs w:val="false"/>
          <w:color w:val="111827"/>
          <w:sz w:val="22"/>
          <w:szCs w:val="22"/>
        </w:rPr>
        <w:t xml:space="preserve">The stakes are high. Time spent in government custody is time spent away from family. Delays in the system do not just represent administrative inefficiency — they represent days, sometimes weeks, of additional stress and uncertainty for children who are already among the most vulnerable populations in the country. For this reason, any tools that help us understand and improve the speed and reliability of this pipeline have real humanitarian value.</w:t>
      </w:r>
    </w:p>
    <w:p>
      <w:pPr>
        <w:spacing w:after="120" w:before="60" w:line="360"/>
        <w:jc w:val="both"/>
      </w:pPr>
      <w:r>
        <w:rPr>
          <w:rFonts w:ascii="Arial" w:cs="Arial" w:eastAsia="Arial" w:hAnsi="Arial"/>
          <w:b w:val="false"/>
          <w:bCs w:val="false"/>
          <w:i w:val="false"/>
          <w:iCs w:val="false"/>
          <w:color w:val="111827"/>
          <w:sz w:val="22"/>
          <w:szCs w:val="22"/>
        </w:rPr>
        <w:t xml:space="preserve">Historically, the public and policy conversation around the UAC program has been dominated by a single statistic: how many children are currently in custody. This capacity-focused framing, while understandable, is incomplete. Knowing that 8,000 children are in HHS care tells us nothing about whether that number is going up or down, whether the system is successfully processing and discharging children, or whether there are specific points in the pipeline where movement is stalling. It is the difference between a hospital reporting how many beds are occupied versus how long patients are waiting, how many are being discharged, and where delays in treatment are occurring.</w:t>
      </w:r>
    </w:p>
    <w:p>
      <w:pPr>
        <w:spacing w:after="120" w:before="60" w:line="360"/>
        <w:jc w:val="both"/>
      </w:pPr>
      <w:r>
        <w:rPr>
          <w:rFonts w:ascii="Arial" w:cs="Arial" w:eastAsia="Arial" w:hAnsi="Arial"/>
          <w:b w:val="false"/>
          <w:bCs w:val="false"/>
          <w:i w:val="false"/>
          <w:iCs w:val="false"/>
          <w:color w:val="111827"/>
          <w:sz w:val="22"/>
          <w:szCs w:val="22"/>
        </w:rPr>
        <w:t xml:space="preserve">This research study is an attempt to fill that analytical gap. By computing daily process efficiency metrics from raw operational data, we construct a picture of the UAC pipeline as a dynamic flow system and identify where it is working well, where it is struggling, and what has changed over time. The goal is not to criticize any particular administration or policy, but to provide the kind of evidence-based operational insight that can support better decisions and, ultimately, better outcomes for children.</w:t>
      </w:r>
    </w:p>
    <w:p>
      <w:pPr>
        <w:spacing w:after="80" w:before="0"/>
      </w:pPr>
      <w:r>
        <w:rPr>
          <w:rFonts w:ascii="Arial" w:cs="Arial" w:eastAsia="Arial" w:hAnsi="Arial"/>
          <w:sz w:val="22"/>
          <w:szCs w:val="22"/>
        </w:rPr>
        <w:t xml:space="preserve"/>
      </w:r>
    </w:p>
    <w:p>
      <w:pPr>
        <w:pStyle w:val="Heading1"/>
        <w:pBdr>
          <w:bottom w:val="single" w:color="2E5FA3" w:sz="8" w:space="4"/>
        </w:pBdr>
        <w:spacing w:after="120" w:before="360"/>
      </w:pPr>
      <w:r>
        <w:rPr>
          <w:rFonts w:ascii="Arial" w:cs="Arial" w:eastAsia="Arial" w:hAnsi="Arial"/>
          <w:b/>
          <w:bCs/>
          <w:color w:val="1B3A6B"/>
          <w:sz w:val="30"/>
          <w:szCs w:val="30"/>
        </w:rPr>
        <w:t xml:space="preserve">2. Background and Context</w:t>
      </w:r>
    </w:p>
    <w:p>
      <w:pPr>
        <w:pStyle w:val="Heading2"/>
        <w:spacing w:after="80" w:before="280"/>
      </w:pPr>
      <w:r>
        <w:rPr>
          <w:rFonts w:ascii="Arial" w:cs="Arial" w:eastAsia="Arial" w:hAnsi="Arial"/>
          <w:b/>
          <w:bCs/>
          <w:color w:val="2E5FA3"/>
          <w:sz w:val="24"/>
          <w:szCs w:val="24"/>
        </w:rPr>
        <w:t xml:space="preserve">2.1 The UAC Care Pipeline</w:t>
      </w:r>
    </w:p>
    <w:p>
      <w:pPr>
        <w:spacing w:after="120" w:before="60" w:line="360"/>
        <w:jc w:val="both"/>
      </w:pPr>
      <w:r>
        <w:rPr>
          <w:rFonts w:ascii="Arial" w:cs="Arial" w:eastAsia="Arial" w:hAnsi="Arial"/>
          <w:b w:val="false"/>
          <w:bCs w:val="false"/>
          <w:i w:val="false"/>
          <w:iCs w:val="false"/>
          <w:color w:val="111827"/>
          <w:sz w:val="22"/>
          <w:szCs w:val="22"/>
        </w:rPr>
        <w:t xml:space="preserve">The path a UAC child takes through the U.S. government system can be broken into four distinct stages, each managed by different agencies and governed by different legal frameworks.</w:t>
      </w:r>
    </w:p>
    <w:p>
      <w:pPr>
        <w:spacing w:after="120" w:before="60" w:line="360"/>
        <w:jc w:val="both"/>
      </w:pPr>
      <w:r>
        <w:rPr>
          <w:rFonts w:ascii="Arial" w:cs="Arial" w:eastAsia="Arial" w:hAnsi="Arial"/>
          <w:b w:val="false"/>
          <w:bCs w:val="false"/>
          <w:i w:val="false"/>
          <w:iCs w:val="false"/>
          <w:color w:val="111827"/>
          <w:sz w:val="22"/>
          <w:szCs w:val="22"/>
        </w:rPr>
        <w:t xml:space="preserve">The first stage is apprehension. When a child is encountered by law enforcement at or near the border, they are taken into Customs and Border Protection custody. CBP facilities are designed for short-term detention, not childcare, and federal law requires that children be transferred out of CBP custody within 72 hours of apprehension. In practice, this timeline is often difficult to meet due to capacity constraints in the receiving HHS system.</w:t>
      </w:r>
    </w:p>
    <w:p>
      <w:pPr>
        <w:spacing w:after="120" w:before="60" w:line="360"/>
        <w:jc w:val="both"/>
      </w:pPr>
      <w:r>
        <w:rPr>
          <w:rFonts w:ascii="Arial" w:cs="Arial" w:eastAsia="Arial" w:hAnsi="Arial"/>
          <w:b w:val="false"/>
          <w:bCs w:val="false"/>
          <w:i w:val="false"/>
          <w:iCs w:val="false"/>
          <w:color w:val="111827"/>
          <w:sz w:val="22"/>
          <w:szCs w:val="22"/>
        </w:rPr>
        <w:t xml:space="preserve">The second stage is the transfer from CBP to HHS. This handoff is one of the most critical junctures in the pipeline. Once a child arrives at an HHS-funded shelter or facility, they fall under the care and legal responsibility of the Office of Refugee Resettlement. This transition marks the point at which proper child welfare services, including medical care, legal orientation, mental health support, and case management, can begin in earnest.</w:t>
      </w:r>
    </w:p>
    <w:p>
      <w:pPr>
        <w:spacing w:after="120" w:before="60" w:line="360"/>
        <w:jc w:val="both"/>
      </w:pPr>
      <w:r>
        <w:rPr>
          <w:rFonts w:ascii="Arial" w:cs="Arial" w:eastAsia="Arial" w:hAnsi="Arial"/>
          <w:b w:val="false"/>
          <w:bCs w:val="false"/>
          <w:i w:val="false"/>
          <w:iCs w:val="false"/>
          <w:color w:val="111827"/>
          <w:sz w:val="22"/>
          <w:szCs w:val="22"/>
        </w:rPr>
        <w:t xml:space="preserve">The third stage is the HHS care period itself. Children remain in ORR custody while staff work to identify and vet an appropriate sponsor, typically a family member or close family friend already residing in the United States. The vetting process involves background checks, home studies in some cases, and legal review. The length of this stage varies significantly depending on the complexity of each child's situation.</w:t>
      </w:r>
    </w:p>
    <w:p>
      <w:pPr>
        <w:spacing w:after="120" w:before="60" w:line="360"/>
        <w:jc w:val="both"/>
      </w:pPr>
      <w:r>
        <w:rPr>
          <w:rFonts w:ascii="Arial" w:cs="Arial" w:eastAsia="Arial" w:hAnsi="Arial"/>
          <w:b w:val="false"/>
          <w:bCs w:val="false"/>
          <w:i w:val="false"/>
          <w:iCs w:val="false"/>
          <w:color w:val="111827"/>
          <w:sz w:val="22"/>
          <w:szCs w:val="22"/>
        </w:rPr>
        <w:t xml:space="preserve">The fourth and final stage is discharge to a sponsor. When a suitable sponsor has been approved, the child is released from ORR custody and placed in the sponsor's home, where they await immigration proceedings. From a humanitarian perspective, this is the goal of the entire system.</w:t>
      </w:r>
    </w:p>
    <w:p>
      <w:pPr>
        <w:pStyle w:val="Heading2"/>
        <w:spacing w:after="80" w:before="280"/>
      </w:pPr>
      <w:r>
        <w:rPr>
          <w:rFonts w:ascii="Arial" w:cs="Arial" w:eastAsia="Arial" w:hAnsi="Arial"/>
          <w:b/>
          <w:bCs/>
          <w:color w:val="2E5FA3"/>
          <w:sz w:val="24"/>
          <w:szCs w:val="24"/>
        </w:rPr>
        <w:t xml:space="preserve">2.2 Why Process Efficiency Metrics Matter</w:t>
      </w:r>
    </w:p>
    <w:p>
      <w:pPr>
        <w:spacing w:after="120" w:before="60" w:line="360"/>
        <w:jc w:val="both"/>
      </w:pPr>
      <w:r>
        <w:rPr>
          <w:rFonts w:ascii="Arial" w:cs="Arial" w:eastAsia="Arial" w:hAnsi="Arial"/>
          <w:b w:val="false"/>
          <w:bCs w:val="false"/>
          <w:i w:val="false"/>
          <w:iCs w:val="false"/>
          <w:color w:val="111827"/>
          <w:sz w:val="22"/>
          <w:szCs w:val="22"/>
        </w:rPr>
        <w:t xml:space="preserve">The most commonly reported statistic in news coverage and congressional testimony about the UAC program is the total number of children in HHS care at any given moment. This number is easy to understand and politically salient, but it is a poor tool for operational management. A high census number could reflect a surge in arrivals, a slowdown in discharges, a shortage of vetted sponsors, or some combination of all three. Without decomposing the number into its drivers, it is nearly impossible to know where to intervene.</w:t>
      </w:r>
    </w:p>
    <w:p>
      <w:pPr>
        <w:spacing w:after="120" w:before="60" w:line="360"/>
        <w:jc w:val="both"/>
      </w:pPr>
      <w:r>
        <w:rPr>
          <w:rFonts w:ascii="Arial" w:cs="Arial" w:eastAsia="Arial" w:hAnsi="Arial"/>
          <w:b w:val="false"/>
          <w:bCs w:val="false"/>
          <w:i w:val="false"/>
          <w:iCs w:val="false"/>
          <w:color w:val="111827"/>
          <w:sz w:val="22"/>
          <w:szCs w:val="22"/>
        </w:rPr>
        <w:t xml:space="preserve">Process efficiency metrics address this limitation by measuring the rate of movement through the system rather than just the current stock. The Transfer Efficiency Ratio, for example, tells us what fraction of children currently in CBP custody are being transferred to HHS on any given day. A ratio consistently below 1.0 suggests that transfers are not keeping pace with the CBP load, which may indicate either a shortage of HHS bed capacity or administrative delays in the handoff process.</w:t>
      </w:r>
    </w:p>
    <w:p>
      <w:pPr>
        <w:spacing w:after="120" w:before="60" w:line="360"/>
        <w:jc w:val="both"/>
      </w:pPr>
      <w:r>
        <w:rPr>
          <w:rFonts w:ascii="Arial" w:cs="Arial" w:eastAsia="Arial" w:hAnsi="Arial"/>
          <w:b w:val="false"/>
          <w:bCs w:val="false"/>
          <w:i w:val="false"/>
          <w:iCs w:val="false"/>
          <w:color w:val="111827"/>
          <w:sz w:val="22"/>
          <w:szCs w:val="22"/>
        </w:rPr>
        <w:t xml:space="preserve">Similarly, the Discharge Effectiveness Index measures the fraction of HHS-held children who are discharged on any given day. A high index indicates the system is moving children through quickly; a low or declining index suggests that case resolution is slowing down, potentially due to sponsor shortages, legal complications, or administrative backlogs in case review.</w:t>
      </w:r>
    </w:p>
    <w:p>
      <w:pPr>
        <w:spacing w:after="80" w:before="0"/>
      </w:pPr>
      <w:r>
        <w:rPr>
          <w:rFonts w:ascii="Arial" w:cs="Arial" w:eastAsia="Arial" w:hAnsi="Arial"/>
          <w:sz w:val="22"/>
          <w:szCs w:val="22"/>
        </w:rPr>
        <w:t xml:space="preserve"/>
      </w:r>
    </w:p>
    <w:p>
      <w:pPr>
        <w:pStyle w:val="Heading1"/>
        <w:pBdr>
          <w:bottom w:val="single" w:color="2E5FA3" w:sz="8" w:space="4"/>
        </w:pBdr>
        <w:spacing w:after="120" w:before="360"/>
      </w:pPr>
      <w:r>
        <w:rPr>
          <w:rFonts w:ascii="Arial" w:cs="Arial" w:eastAsia="Arial" w:hAnsi="Arial"/>
          <w:b/>
          <w:bCs/>
          <w:color w:val="1B3A6B"/>
          <w:sz w:val="30"/>
          <w:szCs w:val="30"/>
        </w:rPr>
        <w:t xml:space="preserve">3. Dataset Description</w:t>
      </w:r>
    </w:p>
    <w:p>
      <w:pPr>
        <w:pStyle w:val="Heading2"/>
        <w:spacing w:after="80" w:before="280"/>
      </w:pPr>
      <w:r>
        <w:rPr>
          <w:rFonts w:ascii="Arial" w:cs="Arial" w:eastAsia="Arial" w:hAnsi="Arial"/>
          <w:b/>
          <w:bCs/>
          <w:color w:val="2E5FA3"/>
          <w:sz w:val="24"/>
          <w:szCs w:val="24"/>
        </w:rPr>
        <w:t xml:space="preserve">3.1 Overview</w:t>
      </w:r>
    </w:p>
    <w:p>
      <w:pPr>
        <w:spacing w:after="120" w:before="60" w:line="360"/>
        <w:jc w:val="both"/>
      </w:pPr>
      <w:r>
        <w:rPr>
          <w:rFonts w:ascii="Arial" w:cs="Arial" w:eastAsia="Arial" w:hAnsi="Arial"/>
          <w:b w:val="false"/>
          <w:bCs w:val="false"/>
          <w:i w:val="false"/>
          <w:iCs w:val="false"/>
          <w:color w:val="111827"/>
          <w:sz w:val="22"/>
          <w:szCs w:val="22"/>
        </w:rPr>
        <w:t xml:space="preserve">The dataset used in this study is a daily operational report published by HHS covering UAC program activity from January 12, 2023, through December 21, 2025. After cleaning for blank rows and formatting inconsistencies, the final analytical dataset contains 720 daily records. Each record represents a single reporting day and captures five core operational counts across the three main stages of the care pipeline.</w:t>
      </w:r>
    </w:p>
    <w:p>
      <w:pPr>
        <w:spacing w:after="120" w:before="60" w:line="360"/>
        <w:jc w:val="both"/>
      </w:pPr>
      <w:r>
        <w:rPr>
          <w:rFonts w:ascii="Arial" w:cs="Arial" w:eastAsia="Arial" w:hAnsi="Arial"/>
          <w:b w:val="false"/>
          <w:bCs w:val="false"/>
          <w:i w:val="false"/>
          <w:iCs w:val="false"/>
          <w:color w:val="111827"/>
          <w:sz w:val="22"/>
          <w:szCs w:val="22"/>
        </w:rPr>
        <w:t xml:space="preserve">It is worth noting that the dataset is not fully continuous across all seven days of the week. The majority of records fall on weekdays, with Sunday appearing in some weeks but very limited Friday coverage (only 2 records) and no Saturday coverage at all. This gap in weekend reporting has implications for the temporal pattern analysis discussed in Section 6.</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D1D5DB" w:sz="1"/>
              <w:left w:val="single" w:color="D1D5DB" w:sz="1"/>
              <w:bottom w:val="single" w:color="D1D5DB" w:sz="1"/>
              <w:right w:val="single" w:color="D1D5DB"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3360"/>
            <w:tcBorders>
              <w:top w:val="single" w:color="D1D5DB" w:sz="1"/>
              <w:left w:val="single" w:color="D1D5DB" w:sz="1"/>
              <w:bottom w:val="single" w:color="D1D5DB" w:sz="1"/>
              <w:right w:val="single" w:color="D1D5DB"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200"/>
            <w:tcBorders>
              <w:top w:val="single" w:color="D1D5DB" w:sz="1"/>
              <w:left w:val="single" w:color="D1D5DB" w:sz="1"/>
              <w:bottom w:val="single" w:color="D1D5DB" w:sz="1"/>
              <w:right w:val="single" w:color="D1D5DB"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Range / 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Date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Daily reporting date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Jan 12, 2023 – Dec 21, 2025</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Children apprehended (CBP)*</w:t>
            </w:r>
          </w:p>
        </w:tc>
        <w:tc>
          <w:tcPr>
            <w:tcW w:type="dxa" w:w="336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Daily intake into CBP custody</w:t>
            </w:r>
          </w:p>
        </w:tc>
        <w:tc>
          <w:tcPr>
            <w:tcW w:type="dxa" w:w="320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0 – 333, avg 93.5/day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Children in CBP custody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Active CBP care load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7 – 531, avg 171.5</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Children transferred out of CBP</w:t>
            </w:r>
          </w:p>
        </w:tc>
        <w:tc>
          <w:tcPr>
            <w:tcW w:type="dxa" w:w="336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Flow from CBP into HHS</w:t>
            </w:r>
          </w:p>
        </w:tc>
        <w:tc>
          <w:tcPr>
            <w:tcW w:type="dxa" w:w="320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0 – 440, avg 128.7/day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Children in HHS Care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Active HHS care load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1,972 – 11,516, avg 6,061</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Children discharged from HHS</w:t>
            </w:r>
          </w:p>
        </w:tc>
        <w:tc>
          <w:tcPr>
            <w:tcW w:type="dxa" w:w="336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Sponsor placements (exits)</w:t>
            </w:r>
          </w:p>
        </w:tc>
        <w:tc>
          <w:tcPr>
            <w:tcW w:type="dxa" w:w="320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0 – 505, avg 173.4/day</w:t>
            </w:r>
          </w:p>
        </w:tc>
      </w:tr>
    </w:tbl>
    <w:p>
      <w:pPr>
        <w:spacing w:after="80" w:before="0"/>
      </w:pPr>
      <w:r>
        <w:rPr>
          <w:rFonts w:ascii="Arial" w:cs="Arial" w:eastAsia="Arial" w:hAnsi="Arial"/>
          <w:sz w:val="22"/>
          <w:szCs w:val="22"/>
        </w:rPr>
        <w:t xml:space="preserve"/>
      </w:r>
    </w:p>
    <w:p>
      <w:pPr>
        <w:pStyle w:val="Heading2"/>
        <w:spacing w:after="80" w:before="280"/>
      </w:pPr>
      <w:r>
        <w:rPr>
          <w:rFonts w:ascii="Arial" w:cs="Arial" w:eastAsia="Arial" w:hAnsi="Arial"/>
          <w:b/>
          <w:bCs/>
          <w:color w:val="2E5FA3"/>
          <w:sz w:val="24"/>
          <w:szCs w:val="24"/>
        </w:rPr>
        <w:t xml:space="preserve">3.2 Data Quality Notes</w:t>
      </w:r>
    </w:p>
    <w:p>
      <w:pPr>
        <w:spacing w:after="120" w:before="60" w:line="360"/>
        <w:jc w:val="both"/>
      </w:pPr>
      <w:r>
        <w:rPr>
          <w:rFonts w:ascii="Arial" w:cs="Arial" w:eastAsia="Arial" w:hAnsi="Arial"/>
          <w:b w:val="false"/>
          <w:bCs w:val="false"/>
          <w:i w:val="false"/>
          <w:iCs w:val="false"/>
          <w:color w:val="111827"/>
          <w:sz w:val="22"/>
          <w:szCs w:val="22"/>
        </w:rPr>
        <w:t xml:space="preserve">The raw dataset contained one notable formatting issue: the "Children in HHS Care" column was stored as a comma-formatted string (e.g., "11,516" rather than 11516), which required preprocessing before numerical analysis could be performed. After this correction and the removal of approximately 450 blank trailing rows, the dataset was clean and complete with no missing values in any of the core columns.</w:t>
      </w:r>
    </w:p>
    <w:p>
      <w:pPr>
        <w:spacing w:after="120" w:before="60" w:line="360"/>
        <w:jc w:val="both"/>
      </w:pPr>
      <w:r>
        <w:rPr>
          <w:rFonts w:ascii="Arial" w:cs="Arial" w:eastAsia="Arial" w:hAnsi="Arial"/>
          <w:b w:val="false"/>
          <w:bCs w:val="false"/>
          <w:i w:val="false"/>
          <w:iCs w:val="false"/>
          <w:color w:val="111827"/>
          <w:sz w:val="22"/>
          <w:szCs w:val="22"/>
        </w:rPr>
        <w:t xml:space="preserve">One important limitation to acknowledge is that the dataset provides no direct measure of the length of time any individual child spends in the system. The analysis presented here works with aggregate daily counts, not individual case records. This means that while we can infer average trends in processing speed from the flow data, we cannot calculate precise individual-level average length-of-stay statistics. That said, the aggregate flow metrics described in the following section provide a robust and meaningful proxy for system efficiency at the population level.</w:t>
      </w:r>
    </w:p>
    <w:p>
      <w:pPr>
        <w:spacing w:after="80" w:before="0"/>
      </w:pPr>
      <w:r>
        <w:rPr>
          <w:rFonts w:ascii="Arial" w:cs="Arial" w:eastAsia="Arial" w:hAnsi="Arial"/>
          <w:sz w:val="22"/>
          <w:szCs w:val="22"/>
        </w:rPr>
        <w:t xml:space="preserve"/>
      </w:r>
    </w:p>
    <w:p>
      <w:pPr>
        <w:pStyle w:val="Heading1"/>
        <w:pBdr>
          <w:bottom w:val="single" w:color="2E5FA3" w:sz="8" w:space="4"/>
        </w:pBdr>
        <w:spacing w:after="120" w:before="360"/>
      </w:pPr>
      <w:r>
        <w:rPr>
          <w:rFonts w:ascii="Arial" w:cs="Arial" w:eastAsia="Arial" w:hAnsi="Arial"/>
          <w:b/>
          <w:bCs/>
          <w:color w:val="1B3A6B"/>
          <w:sz w:val="30"/>
          <w:szCs w:val="30"/>
        </w:rPr>
        <w:t xml:space="preserve">4. Analytical Methodology</w:t>
      </w:r>
    </w:p>
    <w:p>
      <w:pPr>
        <w:pStyle w:val="Heading2"/>
        <w:spacing w:after="80" w:before="280"/>
      </w:pPr>
      <w:r>
        <w:rPr>
          <w:rFonts w:ascii="Arial" w:cs="Arial" w:eastAsia="Arial" w:hAnsi="Arial"/>
          <w:b/>
          <w:bCs/>
          <w:color w:val="2E5FA3"/>
          <w:sz w:val="24"/>
          <w:szCs w:val="24"/>
        </w:rPr>
        <w:t xml:space="preserve">4.1 Pipeline Flow Modeling</w:t>
      </w:r>
    </w:p>
    <w:p>
      <w:pPr>
        <w:spacing w:after="120" w:before="60" w:line="360"/>
        <w:jc w:val="both"/>
      </w:pPr>
      <w:r>
        <w:rPr>
          <w:rFonts w:ascii="Arial" w:cs="Arial" w:eastAsia="Arial" w:hAnsi="Arial"/>
          <w:b w:val="false"/>
          <w:bCs w:val="false"/>
          <w:i w:val="false"/>
          <w:iCs w:val="false"/>
          <w:color w:val="111827"/>
          <w:sz w:val="22"/>
          <w:szCs w:val="22"/>
        </w:rPr>
        <w:t xml:space="preserve">The conceptual foundation of this analysis is stock-and-flow modeling. We treat the UAC system as a pipeline with three reservoirs, CBP custody, HHS care, and the discharged population, connected by two flows. The first flow moves children from CBP to HHS through the transfer process. The second flow moves children out of HHS through the sponsor discharge process. At any point in time, the size of each reservoir reflects the balance between inflows and outflows.</w:t>
      </w:r>
    </w:p>
    <w:p>
      <w:pPr>
        <w:spacing w:after="120" w:before="60" w:line="360"/>
        <w:jc w:val="both"/>
      </w:pPr>
      <w:r>
        <w:rPr>
          <w:rFonts w:ascii="Arial" w:cs="Arial" w:eastAsia="Arial" w:hAnsi="Arial"/>
          <w:b w:val="false"/>
          <w:bCs w:val="false"/>
          <w:i w:val="false"/>
          <w:iCs w:val="false"/>
          <w:color w:val="111827"/>
          <w:sz w:val="22"/>
          <w:szCs w:val="22"/>
        </w:rPr>
        <w:t xml:space="preserve">This framing allows us to ask precise questions about where blockages are occurring. If the CBP reservoir is growing, it means apprehensions are outpacing transfers. If the HHS reservoir is growing, it means transfers are outpacing discharges. If both are shrinking, it means the system is clearing its backlog. By tracking these dynamics daily over nearly three years, we can construct a detailed picture of how the system has evolved.</w:t>
      </w:r>
    </w:p>
    <w:p>
      <w:pPr>
        <w:pStyle w:val="Heading2"/>
        <w:spacing w:after="80" w:before="280"/>
      </w:pPr>
      <w:r>
        <w:rPr>
          <w:rFonts w:ascii="Arial" w:cs="Arial" w:eastAsia="Arial" w:hAnsi="Arial"/>
          <w:b/>
          <w:bCs/>
          <w:color w:val="2E5FA3"/>
          <w:sz w:val="24"/>
          <w:szCs w:val="24"/>
        </w:rPr>
        <w:t xml:space="preserve">4.2 Key Performance Indicators</w:t>
      </w:r>
    </w:p>
    <w:p>
      <w:pPr>
        <w:spacing w:after="120" w:before="60" w:line="360"/>
        <w:jc w:val="both"/>
      </w:pPr>
      <w:r>
        <w:rPr>
          <w:rFonts w:ascii="Arial" w:cs="Arial" w:eastAsia="Arial" w:hAnsi="Arial"/>
          <w:b w:val="false"/>
          <w:bCs w:val="false"/>
          <w:i w:val="false"/>
          <w:iCs w:val="false"/>
          <w:color w:val="111827"/>
          <w:sz w:val="22"/>
          <w:szCs w:val="22"/>
        </w:rPr>
        <w:t xml:space="preserve">Five KPIs were computed for each day in the dataset. These metrics were chosen to cover different dimensions of system performance, from raw transfer speed to outcome consistency.</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KPI Name</w:t>
            </w:r>
          </w:p>
        </w:tc>
        <w:tc>
          <w:tcPr>
            <w:tcW w:type="dxa" w:w="208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c>
          <w:tcPr>
            <w:tcW w:type="dxa" w:w="416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Interpretation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Transfer Efficiency Ratio (TER)</w:t>
            </w:r>
          </w:p>
        </w:tc>
        <w:tc>
          <w:tcPr>
            <w:tcW w:type="dxa" w:w="2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0.69 avg</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Transfers divided by CBP custody. Values near or above 1.0 indicate CBP is clearing its load; values below 1.0 indicate accumulation.</w:t>
            </w:r>
          </w:p>
        </w:tc>
      </w:tr>
      <w:tr>
        <w:tc>
          <w:tcPr>
            <w:tcW w:type="dxa" w:w="312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Discharge Effectiveness Index (DEI)</w:t>
            </w:r>
          </w:p>
        </w:tc>
        <w:tc>
          <w:tcPr>
            <w:tcW w:type="dxa" w:w="208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0.029 avg</w:t>
            </w:r>
          </w:p>
        </w:tc>
        <w:tc>
          <w:tcPr>
            <w:tcW w:type="dxa" w:w="416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Discharges divided by HHS care load. Measures the daily share of HHS-held children successfully placed with sponsors.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Pipeline Throughput Rate (PTR)</w:t>
            </w:r>
          </w:p>
        </w:tc>
        <w:tc>
          <w:tcPr>
            <w:tcW w:type="dxa" w:w="2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1.64 avg</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Total system exits divided by total entries. A value above 1.0 indicates the system is net clearing.</w:t>
            </w:r>
          </w:p>
        </w:tc>
      </w:tr>
      <w:tr>
        <w:tc>
          <w:tcPr>
            <w:tcW w:type="dxa" w:w="312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Backlog Accumulation Rate (BAR)</w:t>
            </w:r>
          </w:p>
        </w:tc>
        <w:tc>
          <w:tcPr>
            <w:tcW w:type="dxa" w:w="208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-79.9 avg</w:t>
            </w:r>
          </w:p>
        </w:tc>
        <w:tc>
          <w:tcPr>
            <w:tcW w:type="dxa" w:w="416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Daily apprehensions minus daily discharges. Negative values indicate the system is net-reducing its total load.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Outcome Stability Score (OSS)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38.4 avg</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7-day rolling standard deviation of daily discharges. Lower values indicate more consistent, predictable placement outcomes.</w:t>
            </w:r>
          </w:p>
        </w:tc>
      </w:tr>
    </w:tbl>
    <w:p>
      <w:pPr>
        <w:spacing w:after="80" w:before="0"/>
      </w:pPr>
      <w:r>
        <w:rPr>
          <w:rFonts w:ascii="Arial" w:cs="Arial" w:eastAsia="Arial" w:hAnsi="Arial"/>
          <w:sz w:val="22"/>
          <w:szCs w:val="22"/>
        </w:rPr>
        <w:t xml:space="preserve"/>
      </w:r>
    </w:p>
    <w:p>
      <w:pPr>
        <w:pStyle w:val="Heading2"/>
        <w:spacing w:after="80" w:before="280"/>
      </w:pPr>
      <w:r>
        <w:rPr>
          <w:rFonts w:ascii="Arial" w:cs="Arial" w:eastAsia="Arial" w:hAnsi="Arial"/>
          <w:b/>
          <w:bCs/>
          <w:color w:val="2E5FA3"/>
          <w:sz w:val="24"/>
          <w:szCs w:val="24"/>
        </w:rPr>
        <w:t xml:space="preserve">4.3 Temporal Analysis</w:t>
      </w:r>
    </w:p>
    <w:p>
      <w:pPr>
        <w:spacing w:after="120" w:before="60" w:line="360"/>
        <w:jc w:val="both"/>
      </w:pPr>
      <w:r>
        <w:rPr>
          <w:rFonts w:ascii="Arial" w:cs="Arial" w:eastAsia="Arial" w:hAnsi="Arial"/>
          <w:b w:val="false"/>
          <w:bCs w:val="false"/>
          <w:i w:val="false"/>
          <w:iCs w:val="false"/>
          <w:color w:val="111827"/>
          <w:sz w:val="22"/>
          <w:szCs w:val="22"/>
        </w:rPr>
        <w:t xml:space="preserve">To understand how system performance has changed over time and whether there are structural patterns in the data, we conducted three forms of temporal analysis. First, we computed rolling 7-day and 14-day averages of each KPI to smooth out day-to-day noise and reveal underlying trends. Second, we aggregated the data by day of week to test for operational differences between weekdays and weekends. Third, we computed month-over-month and year-over-year summaries to identify longer-term trend shifts.</w:t>
      </w:r>
    </w:p>
    <w:p>
      <w:pPr>
        <w:pStyle w:val="Heading2"/>
        <w:spacing w:after="80" w:before="280"/>
      </w:pPr>
      <w:r>
        <w:rPr>
          <w:rFonts w:ascii="Arial" w:cs="Arial" w:eastAsia="Arial" w:hAnsi="Arial"/>
          <w:b/>
          <w:bCs/>
          <w:color w:val="2E5FA3"/>
          <w:sz w:val="24"/>
          <w:szCs w:val="24"/>
        </w:rPr>
        <w:t xml:space="preserve">4.4 Backlog Analysis</w:t>
      </w:r>
    </w:p>
    <w:p>
      <w:pPr>
        <w:spacing w:after="120" w:before="60" w:line="360"/>
        <w:jc w:val="both"/>
      </w:pPr>
      <w:r>
        <w:rPr>
          <w:rFonts w:ascii="Arial" w:cs="Arial" w:eastAsia="Arial" w:hAnsi="Arial"/>
          <w:b w:val="false"/>
          <w:bCs w:val="false"/>
          <w:i w:val="false"/>
          <w:iCs w:val="false"/>
          <w:color w:val="111827"/>
          <w:sz w:val="22"/>
          <w:szCs w:val="22"/>
        </w:rPr>
        <w:t xml:space="preserve">Beyond the daily BAR metric, we computed a cumulative backlog series by taking the running sum of daily BAR values from the start of the dataset. This cumulative measure captures the total unresolved net accumulation in the system over time and makes it possible to identify specific periods of sustained stress, the point at which the system's net backlog peaked, and how quickly the system subsequently cleared.</w:t>
      </w:r>
    </w:p>
    <w:p>
      <w:pPr>
        <w:spacing w:after="80" w:before="0"/>
      </w:pPr>
      <w:r>
        <w:rPr>
          <w:rFonts w:ascii="Arial" w:cs="Arial" w:eastAsia="Arial" w:hAnsi="Arial"/>
          <w:sz w:val="22"/>
          <w:szCs w:val="22"/>
        </w:rPr>
        <w:t xml:space="preserve"/>
      </w:r>
    </w:p>
    <w:p>
      <w:pPr>
        <w:pStyle w:val="Heading1"/>
        <w:pBdr>
          <w:bottom w:val="single" w:color="2E5FA3" w:sz="8" w:space="4"/>
        </w:pBdr>
        <w:spacing w:after="120" w:before="360"/>
      </w:pPr>
      <w:r>
        <w:rPr>
          <w:rFonts w:ascii="Arial" w:cs="Arial" w:eastAsia="Arial" w:hAnsi="Arial"/>
          <w:b/>
          <w:bCs/>
          <w:color w:val="1B3A6B"/>
          <w:sz w:val="30"/>
          <w:szCs w:val="30"/>
        </w:rPr>
        <w:t xml:space="preserve">5. Exploratory Data Analysis</w:t>
      </w:r>
    </w:p>
    <w:p>
      <w:pPr>
        <w:pStyle w:val="Heading2"/>
        <w:spacing w:after="80" w:before="280"/>
      </w:pPr>
      <w:r>
        <w:rPr>
          <w:rFonts w:ascii="Arial" w:cs="Arial" w:eastAsia="Arial" w:hAnsi="Arial"/>
          <w:b/>
          <w:bCs/>
          <w:color w:val="2E5FA3"/>
          <w:sz w:val="24"/>
          <w:szCs w:val="24"/>
        </w:rPr>
        <w:t xml:space="preserve">5.1 Overall Volume Trends</w:t>
      </w:r>
    </w:p>
    <w:p>
      <w:pPr>
        <w:spacing w:after="120" w:before="60" w:line="360"/>
        <w:jc w:val="both"/>
      </w:pPr>
      <w:r>
        <w:rPr>
          <w:rFonts w:ascii="Arial" w:cs="Arial" w:eastAsia="Arial" w:hAnsi="Arial"/>
          <w:b w:val="false"/>
          <w:bCs w:val="false"/>
          <w:i w:val="false"/>
          <w:iCs w:val="false"/>
          <w:color w:val="111827"/>
          <w:sz w:val="22"/>
          <w:szCs w:val="22"/>
        </w:rPr>
        <w:t xml:space="preserve">The most striking finding in the raw data is the dramatic decline in HHS care load between 2023 and 2025. At its peak on December 20, 2023, there were 11,516 children in HHS care, representing an enormous strain on the system's capacity. By the end of the study period in late 2025, that number had fallen to under 2,000 on many reporting days, with the average HHS load in 2025 sitting at approximately 2,542 children per day, compared to 8,646 per day in 2023. This represents a reduction of more than 70 percent in average HHS census over the three-year period.</w:t>
      </w:r>
    </w:p>
    <w:p>
      <w:pPr>
        <w:spacing w:after="120" w:before="60" w:line="360"/>
        <w:jc w:val="both"/>
      </w:pPr>
      <w:r>
        <w:rPr>
          <w:rFonts w:ascii="Arial" w:cs="Arial" w:eastAsia="Arial" w:hAnsi="Arial"/>
          <w:b w:val="false"/>
          <w:bCs w:val="false"/>
          <w:i w:val="false"/>
          <w:iCs w:val="false"/>
          <w:color w:val="111827"/>
          <w:sz w:val="22"/>
          <w:szCs w:val="22"/>
        </w:rPr>
        <w:t xml:space="preserve">CBP-side volumes followed a broadly similar pattern, though with more volatility. Daily apprehensions averaged 93.5 children across the full dataset but reached as high as 333 on peak days. CBP custody levels, which reflect the stock of children awaiting transfer to HHS, averaged 171.5 but peaked at 531. These peaks tend to cluster in the first half of 2023 and again in late 2023 and early 2024, both periods that coincide with broader migration surges documented in other government data.</w:t>
      </w:r>
    </w:p>
    <w:p>
      <w:pPr>
        <w:pStyle w:val="Heading2"/>
        <w:spacing w:after="80" w:before="280"/>
      </w:pPr>
      <w:r>
        <w:rPr>
          <w:rFonts w:ascii="Arial" w:cs="Arial" w:eastAsia="Arial" w:hAnsi="Arial"/>
          <w:b/>
          <w:bCs/>
          <w:color w:val="2E5FA3"/>
          <w:sz w:val="24"/>
          <w:szCs w:val="24"/>
        </w:rPr>
        <w:t xml:space="preserve">5.2 Transfer Patterns</w:t>
      </w:r>
    </w:p>
    <w:p>
      <w:pPr>
        <w:spacing w:after="120" w:before="60" w:line="360"/>
        <w:jc w:val="both"/>
      </w:pPr>
      <w:r>
        <w:rPr>
          <w:rFonts w:ascii="Arial" w:cs="Arial" w:eastAsia="Arial" w:hAnsi="Arial"/>
          <w:b w:val="false"/>
          <w:bCs w:val="false"/>
          <w:i w:val="false"/>
          <w:iCs w:val="false"/>
          <w:color w:val="111827"/>
          <w:sz w:val="22"/>
          <w:szCs w:val="22"/>
        </w:rPr>
        <w:t xml:space="preserve">On the CBP side of the pipeline, the average of 128.7 children transferred to HHS per day slightly exceeds the average daily apprehension count of 93.5. This means that, on average, the CBP-to-HHS handoff was not only keeping up with new arrivals but was also gradually drawing down the existing CBP population. However, this average masks significant variation: on some days, zero transfers were recorded, while on others, as many as 440 transfers occurred in a single day. This suggests a lumpy, batch-oriented transfer process rather than a smooth daily flow.</w:t>
      </w:r>
    </w:p>
    <w:p>
      <w:pPr>
        <w:spacing w:after="120" w:before="60" w:line="360"/>
        <w:jc w:val="both"/>
      </w:pPr>
      <w:r>
        <w:rPr>
          <w:rFonts w:ascii="Arial" w:cs="Arial" w:eastAsia="Arial" w:hAnsi="Arial"/>
          <w:b w:val="false"/>
          <w:bCs w:val="false"/>
          <w:i w:val="false"/>
          <w:iCs w:val="false"/>
          <w:color w:val="111827"/>
          <w:sz w:val="22"/>
          <w:szCs w:val="22"/>
        </w:rPr>
        <w:t xml:space="preserve">Weekday transfer volumes are meaningfully higher than those observed on the limited number of weekend reporting days, which is consistent with the hypothesis that administrative and logistical processes driving transfers are primarily organized around a Monday-through-Friday workweek. The practical implication is that the 72-hour legal window for CBP-to-HHS transfer may be more difficult to meet for children who are apprehended later in the week.</w:t>
      </w:r>
    </w:p>
    <w:p>
      <w:pPr>
        <w:pStyle w:val="Heading2"/>
        <w:spacing w:after="80" w:before="280"/>
      </w:pPr>
      <w:r>
        <w:rPr>
          <w:rFonts w:ascii="Arial" w:cs="Arial" w:eastAsia="Arial" w:hAnsi="Arial"/>
          <w:b/>
          <w:bCs/>
          <w:color w:val="2E5FA3"/>
          <w:sz w:val="24"/>
          <w:szCs w:val="24"/>
        </w:rPr>
        <w:t xml:space="preserve">5.3 HHS Discharge Patterns</w:t>
      </w:r>
    </w:p>
    <w:p>
      <w:pPr>
        <w:spacing w:after="120" w:before="60" w:line="360"/>
        <w:jc w:val="both"/>
      </w:pPr>
      <w:r>
        <w:rPr>
          <w:rFonts w:ascii="Arial" w:cs="Arial" w:eastAsia="Arial" w:hAnsi="Arial"/>
          <w:b w:val="false"/>
          <w:bCs w:val="false"/>
          <w:i w:val="false"/>
          <w:iCs w:val="false"/>
          <w:color w:val="111827"/>
          <w:sz w:val="22"/>
          <w:szCs w:val="22"/>
        </w:rPr>
        <w:t xml:space="preserve">Daily HHS discharges averaged 173.4 children across the full study period, exceeding average daily transfers into HHS (128.7). This net outflow at the HHS stage is what drove the sustained reduction in HHS census over the study period. However, discharge volumes were highly variable, ranging from zero on one day to 505 on peak days. The standard deviation of daily discharges was substantial, and the 7-day rolling standard deviation, which serves as the Outcome Stability Score, averaged 38.4, indicating considerable day-to-day variability in reunification output.</w:t>
      </w:r>
    </w:p>
    <w:p>
      <w:pPr>
        <w:spacing w:after="120" w:before="60" w:line="360"/>
        <w:jc w:val="both"/>
      </w:pPr>
      <w:r>
        <w:rPr>
          <w:rFonts w:ascii="Arial" w:cs="Arial" w:eastAsia="Arial" w:hAnsi="Arial"/>
          <w:b w:val="false"/>
          <w:bCs w:val="false"/>
          <w:i w:val="false"/>
          <w:iCs w:val="false"/>
          <w:color w:val="111827"/>
          <w:sz w:val="22"/>
          <w:szCs w:val="22"/>
        </w:rPr>
        <w:t xml:space="preserve">There was one day in the dataset with zero discharges recorded: November 30, 2025, which corresponds to the Sunday after Thanksgiving and likely reflects a holiday operational pause. More broadly, low-discharge days, defined as days below the 25th percentile discharge count, numbered 180 across the 720-day dataset, suggesting that a significant share of reporting days see below-typical reunification activity.</w:t>
      </w:r>
    </w:p>
    <w:p>
      <w:pPr>
        <w:spacing w:after="80" w:before="0"/>
      </w:pPr>
      <w:r>
        <w:rPr>
          <w:rFonts w:ascii="Arial" w:cs="Arial" w:eastAsia="Arial" w:hAnsi="Arial"/>
          <w:sz w:val="22"/>
          <w:szCs w:val="22"/>
        </w:rPr>
        <w:t xml:space="preserve"/>
      </w:r>
    </w:p>
    <w:p>
      <w:pPr>
        <w:pStyle w:val="Heading1"/>
        <w:pBdr>
          <w:bottom w:val="single" w:color="2E5FA3" w:sz="8" w:space="4"/>
        </w:pBdr>
        <w:spacing w:after="120" w:before="360"/>
      </w:pPr>
      <w:r>
        <w:rPr>
          <w:rFonts w:ascii="Arial" w:cs="Arial" w:eastAsia="Arial" w:hAnsi="Arial"/>
          <w:b/>
          <w:bCs/>
          <w:color w:val="1B3A6B"/>
          <w:sz w:val="30"/>
          <w:szCs w:val="30"/>
        </w:rPr>
        <w:t xml:space="preserve">6. KPI Analysis and Results</w:t>
      </w:r>
    </w:p>
    <w:p>
      <w:pPr>
        <w:pStyle w:val="Heading2"/>
        <w:spacing w:after="80" w:before="280"/>
      </w:pPr>
      <w:r>
        <w:rPr>
          <w:rFonts w:ascii="Arial" w:cs="Arial" w:eastAsia="Arial" w:hAnsi="Arial"/>
          <w:b/>
          <w:bCs/>
          <w:color w:val="2E5FA3"/>
          <w:sz w:val="24"/>
          <w:szCs w:val="24"/>
        </w:rPr>
        <w:t xml:space="preserve">6.1 Transfer Efficiency Ratio</w:t>
      </w:r>
    </w:p>
    <w:p>
      <w:pPr>
        <w:spacing w:after="120" w:before="60" w:line="360"/>
        <w:jc w:val="both"/>
      </w:pPr>
      <w:r>
        <w:rPr>
          <w:rFonts w:ascii="Arial" w:cs="Arial" w:eastAsia="Arial" w:hAnsi="Arial"/>
          <w:b w:val="false"/>
          <w:bCs w:val="false"/>
          <w:i w:val="false"/>
          <w:iCs w:val="false"/>
          <w:color w:val="111827"/>
          <w:sz w:val="22"/>
          <w:szCs w:val="22"/>
        </w:rPr>
        <w:t xml:space="preserve">The Transfer Efficiency Ratio averaged 0.69 across the full study period, meaning that on a typical day, the number of children transferred from CBP to HHS was equivalent to about 69 percent of the total CBP custody population. A ratio of 1.0 would indicate that the system is transferring an amount equal to its entire current CBP load each day, which would represent extremely rapid throughput. Ratios above 1.0 are also possible and occur when transfers exceed the current custody population, which happens when there is a backlog being drawn down.</w:t>
      </w:r>
    </w:p>
    <w:p>
      <w:pPr>
        <w:spacing w:after="120" w:before="60" w:line="360"/>
        <w:jc w:val="both"/>
      </w:pPr>
      <w:r>
        <w:rPr>
          <w:rFonts w:ascii="Arial" w:cs="Arial" w:eastAsia="Arial" w:hAnsi="Arial"/>
          <w:b w:val="false"/>
          <w:bCs w:val="false"/>
          <w:i w:val="false"/>
          <w:iCs w:val="false"/>
          <w:color w:val="111827"/>
          <w:sz w:val="22"/>
          <w:szCs w:val="22"/>
        </w:rPr>
        <w:t xml:space="preserve">The TER showed meaningful improvement over time. In 2023, the average TER was lower, reflecting a system under capacity strain. By 2025, as both CBP and HHS populations declined, the ratio became more volatile but also more often exceeded 1.0, indicating that the remaining CBP population was being transferred at a proportionally faster rate. This is partly a mathematical artifact of smaller denominators, but it also reflects genuine operational improvement.</w:t>
      </w:r>
    </w:p>
    <w:p>
      <w:pPr>
        <w:pStyle w:val="Heading2"/>
        <w:spacing w:after="80" w:before="280"/>
      </w:pPr>
      <w:r>
        <w:rPr>
          <w:rFonts w:ascii="Arial" w:cs="Arial" w:eastAsia="Arial" w:hAnsi="Arial"/>
          <w:b/>
          <w:bCs/>
          <w:color w:val="2E5FA3"/>
          <w:sz w:val="24"/>
          <w:szCs w:val="24"/>
        </w:rPr>
        <w:t xml:space="preserve">6.2 Discharge Effectiveness Index</w:t>
      </w:r>
    </w:p>
    <w:p>
      <w:pPr>
        <w:spacing w:after="120" w:before="60" w:line="360"/>
        <w:jc w:val="both"/>
      </w:pPr>
      <w:r>
        <w:rPr>
          <w:rFonts w:ascii="Arial" w:cs="Arial" w:eastAsia="Arial" w:hAnsi="Arial"/>
          <w:b w:val="false"/>
          <w:bCs w:val="false"/>
          <w:i w:val="false"/>
          <w:iCs w:val="false"/>
          <w:color w:val="111827"/>
          <w:sz w:val="22"/>
          <w:szCs w:val="22"/>
        </w:rPr>
        <w:t xml:space="preserve">The Discharge Effectiveness Index tells a more nuanced story. At an average of 0.029 across the full period, roughly 3 percent of the HHS care population was being discharged on any given day. This might sound low, but it is worth contextualizing: an average daily discharge rate of 3 percent on an average census of 6,061 corresponds to about 182 discharges per day, which is consistent with the raw discharge figures.</w:t>
      </w:r>
    </w:p>
    <w:p>
      <w:pPr>
        <w:spacing w:after="120" w:before="60" w:line="360"/>
        <w:jc w:val="both"/>
      </w:pPr>
      <w:r>
        <w:rPr>
          <w:rFonts w:ascii="Arial" w:cs="Arial" w:eastAsia="Arial" w:hAnsi="Arial"/>
          <w:b w:val="false"/>
          <w:bCs w:val="false"/>
          <w:i w:val="false"/>
          <w:iCs w:val="false"/>
          <w:color w:val="111827"/>
          <w:sz w:val="22"/>
          <w:szCs w:val="22"/>
        </w:rPr>
        <w:t xml:space="preserve">The concerning trend in the DEI is its sharp decline in 2025. Even as the absolute number of children in HHS care fell dramatically, the DEI declined from approximately 0.033 in 2023 to 0.009 in 2025. This means that while there were far fewer children in the system in 2025, those who remained were being discharged at a proportionally slower rate. This could reflect a compositional effect, where the children remaining in 2025 have more complex cases that take longer to resolve, or it could indicate a slowdown in sponsor vetting or case management resources.</w:t>
      </w:r>
    </w:p>
    <w:p>
      <w:pPr>
        <w:pStyle w:val="Heading2"/>
        <w:spacing w:after="80" w:before="280"/>
      </w:pPr>
      <w:r>
        <w:rPr>
          <w:rFonts w:ascii="Arial" w:cs="Arial" w:eastAsia="Arial" w:hAnsi="Arial"/>
          <w:b/>
          <w:bCs/>
          <w:color w:val="2E5FA3"/>
          <w:sz w:val="24"/>
          <w:szCs w:val="24"/>
        </w:rPr>
        <w:t xml:space="preserve">6.3 Backlog Accumulation and Pipeline Throughput</w:t>
      </w:r>
    </w:p>
    <w:p>
      <w:pPr>
        <w:spacing w:after="120" w:before="60" w:line="360"/>
        <w:jc w:val="both"/>
      </w:pPr>
      <w:r>
        <w:rPr>
          <w:rFonts w:ascii="Arial" w:cs="Arial" w:eastAsia="Arial" w:hAnsi="Arial"/>
          <w:b w:val="false"/>
          <w:bCs w:val="false"/>
          <w:i w:val="false"/>
          <w:iCs w:val="false"/>
          <w:color w:val="111827"/>
          <w:sz w:val="22"/>
          <w:szCs w:val="22"/>
        </w:rPr>
        <w:t xml:space="preserve">The Backlog Accumulation Rate averaged -79.9 across the full study period. The negative sign is actually positive news: it means that on average, the system was placing approximately 80 more children with sponsors per day than were being newly apprehended. This net outflow is the fundamental driver of the HHS census reduction documented in Section 5.</w:t>
      </w:r>
    </w:p>
    <w:p>
      <w:pPr>
        <w:spacing w:after="120" w:before="60" w:line="360"/>
        <w:jc w:val="both"/>
      </w:pPr>
      <w:r>
        <w:rPr>
          <w:rFonts w:ascii="Arial" w:cs="Arial" w:eastAsia="Arial" w:hAnsi="Arial"/>
          <w:b w:val="false"/>
          <w:bCs w:val="false"/>
          <w:i w:val="false"/>
          <w:iCs w:val="false"/>
          <w:color w:val="111827"/>
          <w:sz w:val="22"/>
          <w:szCs w:val="22"/>
        </w:rPr>
        <w:t xml:space="preserve">However, the cumulative backlog series reveals that this average masks a difficult early period. During the first half of 2023, the cumulative backlog grew substantially as apprehensions outpaced discharges. The cumulative backlog peaked in mid-2023 before beginning a sustained decline. The longest consecutive streak of days with positive backlog, meaning days where more children entered than exited, was five days, suggesting that while temporary surges occurred, no single extended period of accumulation went unchecked for more than about a week.</w:t>
      </w:r>
    </w:p>
    <w:p>
      <w:pPr>
        <w:spacing w:after="120" w:before="60" w:line="360"/>
        <w:jc w:val="both"/>
      </w:pPr>
      <w:r>
        <w:rPr>
          <w:rFonts w:ascii="Arial" w:cs="Arial" w:eastAsia="Arial" w:hAnsi="Arial"/>
          <w:b w:val="false"/>
          <w:bCs w:val="false"/>
          <w:i w:val="false"/>
          <w:iCs w:val="false"/>
          <w:color w:val="111827"/>
          <w:sz w:val="22"/>
          <w:szCs w:val="22"/>
        </w:rPr>
        <w:t xml:space="preserve">The Pipeline Throughput Rate averaged 1.64, meaning the system was producing roughly 1.64 exits (transfers plus discharges) for every entry. This high throughput rate reflects both the efficiency of the CBP-to-HHS transfer and the net reduction in HHS load over time.</w:t>
      </w:r>
    </w:p>
    <w:p>
      <w:pPr>
        <w:pStyle w:val="Heading2"/>
        <w:spacing w:after="80" w:before="280"/>
      </w:pPr>
      <w:r>
        <w:rPr>
          <w:rFonts w:ascii="Arial" w:cs="Arial" w:eastAsia="Arial" w:hAnsi="Arial"/>
          <w:b/>
          <w:bCs/>
          <w:color w:val="2E5FA3"/>
          <w:sz w:val="24"/>
          <w:szCs w:val="24"/>
        </w:rPr>
        <w:t xml:space="preserve">6.4 Outcome Stability</w:t>
      </w:r>
    </w:p>
    <w:p>
      <w:pPr>
        <w:spacing w:after="120" w:before="60" w:line="360"/>
        <w:jc w:val="both"/>
      </w:pPr>
      <w:r>
        <w:rPr>
          <w:rFonts w:ascii="Arial" w:cs="Arial" w:eastAsia="Arial" w:hAnsi="Arial"/>
          <w:b w:val="false"/>
          <w:bCs w:val="false"/>
          <w:i w:val="false"/>
          <w:iCs w:val="false"/>
          <w:color w:val="111827"/>
          <w:sz w:val="22"/>
          <w:szCs w:val="22"/>
        </w:rPr>
        <w:t xml:space="preserve">Perhaps the most underappreciated dimension of system performance is consistency. A system that discharges 200 children on Monday, 50 on Tuesday, and 300 on Wednesday is producing the same average as one that discharges 183 children every day, but the first system is far harder to manage from a case planning perspective. Sponsors, legal advocates, and support organizations all benefit from predictable discharge flows.</w:t>
      </w:r>
    </w:p>
    <w:p>
      <w:pPr>
        <w:spacing w:after="120" w:before="60" w:line="360"/>
        <w:jc w:val="both"/>
      </w:pPr>
      <w:r>
        <w:rPr>
          <w:rFonts w:ascii="Arial" w:cs="Arial" w:eastAsia="Arial" w:hAnsi="Arial"/>
          <w:b w:val="false"/>
          <w:bCs w:val="false"/>
          <w:i w:val="false"/>
          <w:iCs w:val="false"/>
          <w:color w:val="111827"/>
          <w:sz w:val="22"/>
          <w:szCs w:val="22"/>
        </w:rPr>
        <w:t xml:space="preserve">The Outcome Stability Score, computed as the 7-day rolling standard deviation of daily discharges, averaged 38.4 across the study period. This level of variability is substantial relative to average daily discharges of 173. The instability was most pronounced during the high-volume period of 2023 and has moderated somewhat in 2025, though day-to-day discharge variability remains a feature of the system rather than an exception.</w:t>
      </w:r>
    </w:p>
    <w:p>
      <w:pPr>
        <w:spacing w:after="80" w:before="0"/>
      </w:pPr>
      <w:r>
        <w:rPr>
          <w:rFonts w:ascii="Arial" w:cs="Arial" w:eastAsia="Arial" w:hAnsi="Arial"/>
          <w:sz w:val="22"/>
          <w:szCs w:val="22"/>
        </w:rPr>
        <w:t xml:space="preserve"/>
      </w:r>
    </w:p>
    <w:p>
      <w:pPr>
        <w:pStyle w:val="Heading1"/>
        <w:pBdr>
          <w:bottom w:val="single" w:color="2E5FA3" w:sz="8" w:space="4"/>
        </w:pBdr>
        <w:spacing w:after="120" w:before="360"/>
      </w:pPr>
      <w:r>
        <w:rPr>
          <w:rFonts w:ascii="Arial" w:cs="Arial" w:eastAsia="Arial" w:hAnsi="Arial"/>
          <w:b/>
          <w:bCs/>
          <w:color w:val="1B3A6B"/>
          <w:sz w:val="30"/>
          <w:szCs w:val="30"/>
        </w:rPr>
        <w:t xml:space="preserve">7. Temporal and Pattern Analysis</w:t>
      </w:r>
    </w:p>
    <w:p>
      <w:pPr>
        <w:pStyle w:val="Heading2"/>
        <w:spacing w:after="80" w:before="280"/>
      </w:pPr>
      <w:r>
        <w:rPr>
          <w:rFonts w:ascii="Arial" w:cs="Arial" w:eastAsia="Arial" w:hAnsi="Arial"/>
          <w:b/>
          <w:bCs/>
          <w:color w:val="2E5FA3"/>
          <w:sz w:val="24"/>
          <w:szCs w:val="24"/>
        </w:rPr>
        <w:t xml:space="preserve">7.1 Year-over-Year Trends</w:t>
      </w:r>
    </w:p>
    <w:p>
      <w:pPr>
        <w:spacing w:after="120" w:before="60" w:line="360"/>
        <w:jc w:val="both"/>
      </w:pPr>
      <w:r>
        <w:rPr>
          <w:rFonts w:ascii="Arial" w:cs="Arial" w:eastAsia="Arial" w:hAnsi="Arial"/>
          <w:b w:val="false"/>
          <w:bCs w:val="false"/>
          <w:i w:val="false"/>
          <w:iCs w:val="false"/>
          <w:color w:val="111827"/>
          <w:sz w:val="22"/>
          <w:szCs w:val="22"/>
        </w:rPr>
        <w:t xml:space="preserve">The year-over-year comparison tells a clear story of system improvement along most dimensions. In 2023, the system was operating under significant strain, with high census counts, elevated CBP custody levels, and the peak backlog occurring in the middle of that year. In 2024, the system began to clear, with HHS census declining through the year and discharge volumes remaining relatively stable. By 2025, the system had reached a substantially reduced scale, with average HHS census falling by more than 70 percent from 2023 levels.</w:t>
      </w:r>
    </w:p>
    <w:p>
      <w:pPr>
        <w:spacing w:after="120" w:before="60" w:line="360"/>
        <w:jc w:val="both"/>
      </w:pPr>
      <w:r>
        <w:rPr>
          <w:rFonts w:ascii="Arial" w:cs="Arial" w:eastAsia="Arial" w:hAnsi="Arial"/>
          <w:b w:val="false"/>
          <w:bCs w:val="false"/>
          <w:i w:val="false"/>
          <w:iCs w:val="false"/>
          <w:color w:val="111827"/>
          <w:sz w:val="22"/>
          <w:szCs w:val="22"/>
        </w:rPr>
        <w:t xml:space="preserve">Total discharges across the three years reflect this transition. With a smaller population to discharge in 2025, the total number of annual reunifications was lower than in 2023, but the system was operating at a fundamentally different scale. The key question raised by the 2025 DEI data is whether the slower proportional discharge rate in 2025 represents a feature (more careful processing of complex cases) or a bug (reduced throughput capacity applied to a smaller remaining population).</w:t>
      </w:r>
    </w:p>
    <w:p>
      <w:pPr>
        <w:pStyle w:val="Heading2"/>
        <w:spacing w:after="80" w:before="280"/>
      </w:pPr>
      <w:r>
        <w:rPr>
          <w:rFonts w:ascii="Arial" w:cs="Arial" w:eastAsia="Arial" w:hAnsi="Arial"/>
          <w:b/>
          <w:bCs/>
          <w:color w:val="2E5FA3"/>
          <w:sz w:val="24"/>
          <w:szCs w:val="24"/>
        </w:rPr>
        <w:t xml:space="preserve">7.2 Monthly Patterns</w:t>
      </w:r>
    </w:p>
    <w:p>
      <w:pPr>
        <w:spacing w:after="120" w:before="60" w:line="360"/>
        <w:jc w:val="both"/>
      </w:pPr>
      <w:r>
        <w:rPr>
          <w:rFonts w:ascii="Arial" w:cs="Arial" w:eastAsia="Arial" w:hAnsi="Arial"/>
          <w:b w:val="false"/>
          <w:bCs w:val="false"/>
          <w:i w:val="false"/>
          <w:iCs w:val="false"/>
          <w:color w:val="111827"/>
          <w:sz w:val="22"/>
          <w:szCs w:val="22"/>
        </w:rPr>
        <w:t xml:space="preserve">Monthly aggregations reveal seasonal patterns in both transfers and discharges. Transfers into HHS tended to be highest during the late winter and spring months, consistent with broader migration patterns that typically peak in the spring. Discharge volumes were more evenly distributed across the year, though they dipped noticeably around major federal holidays, including Thanksgiving, Christmas, and New Year's, reflecting the impact of reduced staffing on case resolution activity.</w:t>
      </w:r>
    </w:p>
    <w:p>
      <w:pPr>
        <w:spacing w:after="120" w:before="60" w:line="360"/>
        <w:jc w:val="both"/>
      </w:pPr>
      <w:r>
        <w:rPr>
          <w:rFonts w:ascii="Arial" w:cs="Arial" w:eastAsia="Arial" w:hAnsi="Arial"/>
          <w:b w:val="false"/>
          <w:bCs w:val="false"/>
          <w:i w:val="false"/>
          <w:iCs w:val="false"/>
          <w:color w:val="111827"/>
          <w:sz w:val="22"/>
          <w:szCs w:val="22"/>
        </w:rPr>
        <w:t xml:space="preserve">The Transfer Efficiency Ratio showed its most favorable values in the months following the mid-2023 peak in HHS census, suggesting that as HHS began to clear its existing load, it was better able to absorb incoming transfers from CBP and process them quickly. This points to a virtuous cycle in which system clearing begats further clearing, and a vicious cycle in the opposite direction.</w:t>
      </w:r>
    </w:p>
    <w:p>
      <w:pPr>
        <w:pStyle w:val="Heading2"/>
        <w:spacing w:after="80" w:before="280"/>
      </w:pPr>
      <w:r>
        <w:rPr>
          <w:rFonts w:ascii="Arial" w:cs="Arial" w:eastAsia="Arial" w:hAnsi="Arial"/>
          <w:b/>
          <w:bCs/>
          <w:color w:val="2E5FA3"/>
          <w:sz w:val="24"/>
          <w:szCs w:val="24"/>
        </w:rPr>
        <w:t xml:space="preserve">7.3 Weekday versus Weekend Operations</w:t>
      </w:r>
    </w:p>
    <w:p>
      <w:pPr>
        <w:spacing w:after="120" w:before="60" w:line="360"/>
        <w:jc w:val="both"/>
      </w:pPr>
      <w:r>
        <w:rPr>
          <w:rFonts w:ascii="Arial" w:cs="Arial" w:eastAsia="Arial" w:hAnsi="Arial"/>
          <w:b w:val="false"/>
          <w:bCs w:val="false"/>
          <w:i w:val="false"/>
          <w:iCs w:val="false"/>
          <w:color w:val="111827"/>
          <w:sz w:val="22"/>
          <w:szCs w:val="22"/>
        </w:rPr>
        <w:t xml:space="preserve">One of the more structurally important findings in this analysis is the difference in operational activity between weekdays and the limited weekend data available. Both transfer volumes and discharge volumes are substantially higher on weekdays than on weekends. This is not surprising given that most administrative and legal processes that drive both transfers and sponsor approvals operate on a standard business schedule.</w:t>
      </w:r>
    </w:p>
    <w:p>
      <w:pPr>
        <w:spacing w:after="120" w:before="60" w:line="360"/>
        <w:jc w:val="both"/>
      </w:pPr>
      <w:r>
        <w:rPr>
          <w:rFonts w:ascii="Arial" w:cs="Arial" w:eastAsia="Arial" w:hAnsi="Arial"/>
          <w:b w:val="false"/>
          <w:bCs w:val="false"/>
          <w:i w:val="false"/>
          <w:iCs w:val="false"/>
          <w:color w:val="111827"/>
          <w:sz w:val="22"/>
          <w:szCs w:val="22"/>
        </w:rPr>
        <w:t xml:space="preserve">What this pattern implies, however, is that the 72-hour transfer requirement for children in CBP custody may be difficult to meet in practice for children who arrive on a Thursday or Friday. If transfers primarily occur on weekdays, a child arriving Thursday evening effectively faces a potential weekend gap before they can be processed into HHS care. Addressing this structural issue, whether through weekend staffing models or pre-authorization of transfers, could meaningfully improve compliance with the 72-hour requirement.</w:t>
      </w:r>
    </w:p>
    <w:p>
      <w:pPr>
        <w:spacing w:after="80" w:before="0"/>
      </w:pPr>
      <w:r>
        <w:rPr>
          <w:rFonts w:ascii="Arial" w:cs="Arial" w:eastAsia="Arial" w:hAnsi="Arial"/>
          <w:sz w:val="22"/>
          <w:szCs w:val="22"/>
        </w:rPr>
        <w:t xml:space="preserve"/>
      </w:r>
    </w:p>
    <w:p>
      <w:pPr>
        <w:pStyle w:val="Heading1"/>
        <w:pBdr>
          <w:bottom w:val="single" w:color="2E5FA3" w:sz="8" w:space="4"/>
        </w:pBdr>
        <w:spacing w:after="120" w:before="360"/>
      </w:pPr>
      <w:r>
        <w:rPr>
          <w:rFonts w:ascii="Arial" w:cs="Arial" w:eastAsia="Arial" w:hAnsi="Arial"/>
          <w:b/>
          <w:bCs/>
          <w:color w:val="1B3A6B"/>
          <w:sz w:val="30"/>
          <w:szCs w:val="30"/>
        </w:rPr>
        <w:t xml:space="preserve">8. Bottleneck and Delay Analysis</w:t>
      </w:r>
    </w:p>
    <w:p>
      <w:pPr>
        <w:pStyle w:val="Heading2"/>
        <w:spacing w:after="80" w:before="280"/>
      </w:pPr>
      <w:r>
        <w:rPr>
          <w:rFonts w:ascii="Arial" w:cs="Arial" w:eastAsia="Arial" w:hAnsi="Arial"/>
          <w:b/>
          <w:bCs/>
          <w:color w:val="2E5FA3"/>
          <w:sz w:val="24"/>
          <w:szCs w:val="24"/>
        </w:rPr>
        <w:t xml:space="preserve">8.1 Identifying System Stress Points</w:t>
      </w:r>
    </w:p>
    <w:p>
      <w:pPr>
        <w:spacing w:after="120" w:before="60" w:line="360"/>
        <w:jc w:val="both"/>
      </w:pPr>
      <w:r>
        <w:rPr>
          <w:rFonts w:ascii="Arial" w:cs="Arial" w:eastAsia="Arial" w:hAnsi="Arial"/>
          <w:b w:val="false"/>
          <w:bCs w:val="false"/>
          <w:i w:val="false"/>
          <w:iCs w:val="false"/>
          <w:color w:val="111827"/>
          <w:sz w:val="22"/>
          <w:szCs w:val="22"/>
        </w:rPr>
        <w:t xml:space="preserve">The cumulative backlog series provides the clearest visualization of when and where the system experienced its greatest stress. From the start of the dataset in January 2023, the cumulative backlog grew steadily through the spring and summer, reaching its peak in the second half of 2023. This period corresponds to the peak HHS census of 11,516 recorded in December 2023, suggesting that the system was continuously accumulating new arrivals faster than it could process and place them.</w:t>
      </w:r>
    </w:p>
    <w:p>
      <w:pPr>
        <w:spacing w:after="120" w:before="60" w:line="360"/>
        <w:jc w:val="both"/>
      </w:pPr>
      <w:r>
        <w:rPr>
          <w:rFonts w:ascii="Arial" w:cs="Arial" w:eastAsia="Arial" w:hAnsi="Arial"/>
          <w:b w:val="false"/>
          <w:bCs w:val="false"/>
          <w:i w:val="false"/>
          <w:iCs w:val="false"/>
          <w:color w:val="111827"/>
          <w:sz w:val="22"/>
          <w:szCs w:val="22"/>
        </w:rPr>
        <w:t xml:space="preserve">After the peak, the cumulative backlog began a sustained decline that continued through 2025. This turning point appears to have been driven by a combination of factors: reduced apprehension volumes reducing inflow pressure, increased discharge activity, and possibly improved sponsor identification and vetting processes. The precise causal drivers are beyond the scope of this data alone, but the trend is unambiguous.</w:t>
      </w:r>
    </w:p>
    <w:p>
      <w:pPr>
        <w:pStyle w:val="Heading2"/>
        <w:spacing w:after="80" w:before="280"/>
      </w:pPr>
      <w:r>
        <w:rPr>
          <w:rFonts w:ascii="Arial" w:cs="Arial" w:eastAsia="Arial" w:hAnsi="Arial"/>
          <w:b/>
          <w:bCs/>
          <w:color w:val="2E5FA3"/>
          <w:sz w:val="24"/>
          <w:szCs w:val="24"/>
        </w:rPr>
        <w:t xml:space="preserve">8.2 The CBP-to-HHS Handoff</w:t>
      </w:r>
    </w:p>
    <w:p>
      <w:pPr>
        <w:spacing w:after="120" w:before="60" w:line="360"/>
        <w:jc w:val="both"/>
      </w:pPr>
      <w:r>
        <w:rPr>
          <w:rFonts w:ascii="Arial" w:cs="Arial" w:eastAsia="Arial" w:hAnsi="Arial"/>
          <w:b w:val="false"/>
          <w:bCs w:val="false"/>
          <w:i w:val="false"/>
          <w:iCs w:val="false"/>
          <w:color w:val="111827"/>
          <w:sz w:val="22"/>
          <w:szCs w:val="22"/>
        </w:rPr>
        <w:t xml:space="preserve">The CBP-to-HHS transfer process is the most legally constrained step in the pipeline and also one of the most variable. On 36 days across the study period, zero transfers were recorded despite non-zero CBP custody populations. These zero-transfer days cluster disproportionately around weekends and federal holidays, reinforcing the finding that the transfer process is operationally dependent on standard business-hours staffing.</w:t>
      </w:r>
    </w:p>
    <w:p>
      <w:pPr>
        <w:spacing w:after="120" w:before="60" w:line="360"/>
        <w:jc w:val="both"/>
      </w:pPr>
      <w:r>
        <w:rPr>
          <w:rFonts w:ascii="Arial" w:cs="Arial" w:eastAsia="Arial" w:hAnsi="Arial"/>
          <w:b w:val="false"/>
          <w:bCs w:val="false"/>
          <w:i w:val="false"/>
          <w:iCs w:val="false"/>
          <w:color w:val="111827"/>
          <w:sz w:val="22"/>
          <w:szCs w:val="22"/>
        </w:rPr>
        <w:t xml:space="preserve">The batch nature of transfers is also evident in the distribution of daily transfer volumes. Rather than a smooth distribution centered around the average of 128.7, the transfer data shows a pattern where many days see below-average transfers and a smaller number of days see very high volumes. This suggests that transfers may be organized in groups or batches rather than processed individually as children become eligible, which could introduce unnecessary delay for children at the front of an accumulating queue.</w:t>
      </w:r>
    </w:p>
    <w:p>
      <w:pPr>
        <w:pStyle w:val="Heading2"/>
        <w:spacing w:after="80" w:before="280"/>
      </w:pPr>
      <w:r>
        <w:rPr>
          <w:rFonts w:ascii="Arial" w:cs="Arial" w:eastAsia="Arial" w:hAnsi="Arial"/>
          <w:b/>
          <w:bCs/>
          <w:color w:val="2E5FA3"/>
          <w:sz w:val="24"/>
          <w:szCs w:val="24"/>
        </w:rPr>
        <w:t xml:space="preserve">8.3 HHS Discharge Bottlenecks</w:t>
      </w:r>
    </w:p>
    <w:p>
      <w:pPr>
        <w:spacing w:after="120" w:before="60" w:line="360"/>
        <w:jc w:val="both"/>
      </w:pPr>
      <w:r>
        <w:rPr>
          <w:rFonts w:ascii="Arial" w:cs="Arial" w:eastAsia="Arial" w:hAnsi="Arial"/>
          <w:b w:val="false"/>
          <w:bCs w:val="false"/>
          <w:i w:val="false"/>
          <w:iCs w:val="false"/>
          <w:color w:val="111827"/>
          <w:sz w:val="22"/>
          <w:szCs w:val="22"/>
        </w:rPr>
        <w:t xml:space="preserve">On the discharge side, the primary bottleneck appears to be the sponsor vetting and approval process rather than the availability of children ready for placement. The high variability in daily discharge volumes, combined with the notable dip in the Discharge Effectiveness Index in 2025, suggests that the rate-limiting step is not the identification of children who are ready to leave but the completion of the administrative and investigative processes required before they can be released.</w:t>
      </w:r>
    </w:p>
    <w:p>
      <w:pPr>
        <w:spacing w:after="120" w:before="60" w:line="360"/>
        <w:jc w:val="both"/>
      </w:pPr>
      <w:r>
        <w:rPr>
          <w:rFonts w:ascii="Arial" w:cs="Arial" w:eastAsia="Arial" w:hAnsi="Arial"/>
          <w:b w:val="false"/>
          <w:bCs w:val="false"/>
          <w:i w:val="false"/>
          <w:iCs w:val="false"/>
          <w:color w:val="111827"/>
          <w:sz w:val="22"/>
          <w:szCs w:val="22"/>
        </w:rPr>
        <w:t xml:space="preserve">This interpretation is consistent with broader reporting on the ORR sponsor vetting process, which became more rigorous following concerns raised in 2022 and 2023 about children being released to inappropriate sponsors. While increased rigor in sponsor vetting is unambiguously the right policy, it does have measurable implications for average length of stay, and the data suggests that those implications remain visible in the 2025 DEI numbers.</w:t>
      </w:r>
    </w:p>
    <w:p>
      <w:pPr>
        <w:spacing w:after="80" w:before="0"/>
      </w:pPr>
      <w:r>
        <w:rPr>
          <w:rFonts w:ascii="Arial" w:cs="Arial" w:eastAsia="Arial" w:hAnsi="Arial"/>
          <w:sz w:val="22"/>
          <w:szCs w:val="22"/>
        </w:rPr>
        <w:t xml:space="preserve"/>
      </w:r>
    </w:p>
    <w:p>
      <w:pPr>
        <w:pStyle w:val="Heading1"/>
        <w:pBdr>
          <w:bottom w:val="single" w:color="2E5FA3" w:sz="8" w:space="4"/>
        </w:pBdr>
        <w:spacing w:after="120" w:before="360"/>
      </w:pPr>
      <w:r>
        <w:rPr>
          <w:rFonts w:ascii="Arial" w:cs="Arial" w:eastAsia="Arial" w:hAnsi="Arial"/>
          <w:b/>
          <w:bCs/>
          <w:color w:val="1B3A6B"/>
          <w:sz w:val="30"/>
          <w:szCs w:val="30"/>
        </w:rPr>
        <w:t xml:space="preserve">9. Recommendations</w:t>
      </w:r>
    </w:p>
    <w:p>
      <w:pPr>
        <w:pStyle w:val="Heading2"/>
        <w:spacing w:after="80" w:before="280"/>
      </w:pPr>
      <w:r>
        <w:rPr>
          <w:rFonts w:ascii="Arial" w:cs="Arial" w:eastAsia="Arial" w:hAnsi="Arial"/>
          <w:b/>
          <w:bCs/>
          <w:color w:val="2E5FA3"/>
          <w:sz w:val="24"/>
          <w:szCs w:val="24"/>
        </w:rPr>
        <w:t xml:space="preserve">9.1 Operational Recommendations</w:t>
      </w:r>
    </w:p>
    <w:p>
      <w:pPr>
        <w:spacing w:after="120" w:before="60" w:line="360"/>
        <w:jc w:val="both"/>
      </w:pPr>
      <w:r>
        <w:rPr>
          <w:rFonts w:ascii="Arial" w:cs="Arial" w:eastAsia="Arial" w:hAnsi="Arial"/>
          <w:b w:val="false"/>
          <w:bCs w:val="false"/>
          <w:i w:val="false"/>
          <w:iCs w:val="false"/>
          <w:color w:val="111827"/>
          <w:sz w:val="22"/>
          <w:szCs w:val="22"/>
        </w:rPr>
        <w:t xml:space="preserve">Based on the analysis presented in this paper, we offer the following operational recommendations for HHS/ORR program management.</w:t>
      </w:r>
    </w:p>
    <w:p>
      <w:pPr>
        <w:pStyle w:val="ListParagraph"/>
        <w:numPr>
          <w:ilvl w:val="0"/>
          <w:numId w:val="2"/>
        </w:numPr>
        <w:spacing w:after="40" w:before="40" w:line="320"/>
      </w:pPr>
      <w:r>
        <w:rPr>
          <w:rFonts w:ascii="Arial" w:cs="Arial" w:eastAsia="Arial" w:hAnsi="Arial"/>
          <w:color w:val="111827"/>
          <w:sz w:val="22"/>
          <w:szCs w:val="22"/>
        </w:rPr>
        <w:t xml:space="preserve">Extend operational coverage for transfers into weekend days. The data clearly shows that CBP-to-HHS transfers slow substantially on weekends, even when CBP custody populations remain elevated. Piloting a reduced-capacity weekend transfer team, even covering just Saturday, could materially improve 72-hour compliance rates for children arriving late in the week.</w:t>
      </w:r>
    </w:p>
    <w:p>
      <w:pPr>
        <w:pStyle w:val="ListParagraph"/>
        <w:numPr>
          <w:ilvl w:val="0"/>
          <w:numId w:val="2"/>
        </w:numPr>
        <w:spacing w:after="40" w:before="40" w:line="320"/>
      </w:pPr>
      <w:r>
        <w:rPr>
          <w:rFonts w:ascii="Arial" w:cs="Arial" w:eastAsia="Arial" w:hAnsi="Arial"/>
          <w:color w:val="111827"/>
          <w:sz w:val="22"/>
          <w:szCs w:val="22"/>
        </w:rPr>
        <w:t xml:space="preserve">Standardize transfer batch scheduling. The high day-to-day variability in transfer volumes suggests a lack of systematic scheduling. Implementing a predictable transfer cadence, such as a commitment to process a minimum number of transfers each operational day, would reduce variability and make planning easier on the HHS receiving end.</w:t>
      </w:r>
    </w:p>
    <w:p>
      <w:pPr>
        <w:pStyle w:val="ListParagraph"/>
        <w:numPr>
          <w:ilvl w:val="0"/>
          <w:numId w:val="2"/>
        </w:numPr>
        <w:spacing w:after="40" w:before="40" w:line="320"/>
      </w:pPr>
      <w:r>
        <w:rPr>
          <w:rFonts w:ascii="Arial" w:cs="Arial" w:eastAsia="Arial" w:hAnsi="Arial"/>
          <w:color w:val="111827"/>
          <w:sz w:val="22"/>
          <w:szCs w:val="22"/>
        </w:rPr>
        <w:t xml:space="preserve">Investigate the 2025 DEI decline. The drop in Discharge Effectiveness Index from 2023 to 2025 warrants a focused operational review. With fewer children in the system, proportional discharge rates should theoretically be easier to maintain, not harder. A qualitative review of case closure timelines and sponsor approval workflows could identify specific procedural bottlenecks.</w:t>
      </w:r>
    </w:p>
    <w:p>
      <w:pPr>
        <w:pStyle w:val="ListParagraph"/>
        <w:numPr>
          <w:ilvl w:val="0"/>
          <w:numId w:val="2"/>
        </w:numPr>
        <w:spacing w:after="40" w:before="40" w:line="320"/>
      </w:pPr>
      <w:r>
        <w:rPr>
          <w:rFonts w:ascii="Arial" w:cs="Arial" w:eastAsia="Arial" w:hAnsi="Arial"/>
          <w:color w:val="111827"/>
          <w:sz w:val="22"/>
          <w:szCs w:val="22"/>
        </w:rPr>
        <w:t xml:space="preserve">Create a real-time KPI monitoring dashboard. The metrics developed in this study, particularly TER, DEI, and the daily BAR, could be computed in real time from operational data and tracked through a live dashboard. Establishing alert thresholds, for example flagging when TER falls below 0.5 for three consecutive days, would give program managers early warning of emerging bottlenecks before they develop into system-wide crises.</w:t>
      </w:r>
    </w:p>
    <w:p>
      <w:pPr>
        <w:pStyle w:val="Heading2"/>
        <w:spacing w:after="80" w:before="280"/>
      </w:pPr>
      <w:r>
        <w:rPr>
          <w:rFonts w:ascii="Arial" w:cs="Arial" w:eastAsia="Arial" w:hAnsi="Arial"/>
          <w:b/>
          <w:bCs/>
          <w:color w:val="2E5FA3"/>
          <w:sz w:val="24"/>
          <w:szCs w:val="24"/>
        </w:rPr>
        <w:t xml:space="preserve">9.2 Policy Recommendations</w:t>
      </w:r>
    </w:p>
    <w:p>
      <w:pPr>
        <w:spacing w:after="120" w:before="60" w:line="360"/>
        <w:jc w:val="both"/>
      </w:pPr>
      <w:r>
        <w:rPr>
          <w:rFonts w:ascii="Arial" w:cs="Arial" w:eastAsia="Arial" w:hAnsi="Arial"/>
          <w:b w:val="false"/>
          <w:bCs w:val="false"/>
          <w:i w:val="false"/>
          <w:iCs w:val="false"/>
          <w:color w:val="111827"/>
          <w:sz w:val="22"/>
          <w:szCs w:val="22"/>
        </w:rPr>
        <w:t xml:space="preserve">Beyond day-to-day operations, this analysis points to several structural policy questions worth examining.</w:t>
      </w:r>
    </w:p>
    <w:p>
      <w:pPr>
        <w:pStyle w:val="ListParagraph"/>
        <w:numPr>
          <w:ilvl w:val="0"/>
          <w:numId w:val="2"/>
        </w:numPr>
        <w:spacing w:after="40" w:before="40" w:line="320"/>
      </w:pPr>
      <w:r>
        <w:rPr>
          <w:rFonts w:ascii="Arial" w:cs="Arial" w:eastAsia="Arial" w:hAnsi="Arial"/>
          <w:color w:val="111827"/>
          <w:sz w:val="22"/>
          <w:szCs w:val="22"/>
        </w:rPr>
        <w:t xml:space="preserve">Consider the tradeoff between sponsor vetting rigor and length of stay. This is not an argument to reduce vetting standards, which serve a critical child safety function, but rather a call for investment in the infrastructure and personnel needed to complete vetting processes more quickly without compromising their quality. If the 2025 DEI decline reflects a capacity constraint in the vetting workforce, additional resources in that area would have a direct and measurable impact on reunification timelines.</w:t>
      </w:r>
    </w:p>
    <w:p>
      <w:pPr>
        <w:pStyle w:val="ListParagraph"/>
        <w:numPr>
          <w:ilvl w:val="0"/>
          <w:numId w:val="2"/>
        </w:numPr>
        <w:spacing w:after="40" w:before="40" w:line="320"/>
      </w:pPr>
      <w:r>
        <w:rPr>
          <w:rFonts w:ascii="Arial" w:cs="Arial" w:eastAsia="Arial" w:hAnsi="Arial"/>
          <w:color w:val="111827"/>
          <w:sz w:val="22"/>
          <w:szCs w:val="22"/>
        </w:rPr>
        <w:t xml:space="preserve">Develop formal standards for the CBP-to-HHS transition SLA. While the 72-hour legal limit is well-established, there is no equivalent standard for the speed of the HHS-to-sponsor transition. Establishing and publicly tracking a target average length of stay in ORR custody would create accountability and focus attention on improving the metric over time.</w:t>
      </w:r>
    </w:p>
    <w:p>
      <w:pPr>
        <w:pStyle w:val="ListParagraph"/>
        <w:numPr>
          <w:ilvl w:val="0"/>
          <w:numId w:val="2"/>
        </w:numPr>
        <w:spacing w:after="40" w:before="40" w:line="320"/>
      </w:pPr>
      <w:r>
        <w:rPr>
          <w:rFonts w:ascii="Arial" w:cs="Arial" w:eastAsia="Arial" w:hAnsi="Arial"/>
          <w:color w:val="111827"/>
          <w:sz w:val="22"/>
          <w:szCs w:val="22"/>
        </w:rPr>
        <w:t xml:space="preserve">Invest in longitudinal individual-level tracking. The aggregate data used in this study, while valuable, does not allow us to trace individual children through the pipeline or compute precise average lengths of stay. Building an analytical infrastructure that links individual case records across the CBP and HHS systems would unlock a much richer set of insights and enable more targeted interventions for children whose cases are at risk of stalling.</w:t>
      </w:r>
    </w:p>
    <w:p>
      <w:pPr>
        <w:spacing w:after="80" w:before="0"/>
      </w:pPr>
      <w:r>
        <w:rPr>
          <w:rFonts w:ascii="Arial" w:cs="Arial" w:eastAsia="Arial" w:hAnsi="Arial"/>
          <w:sz w:val="22"/>
          <w:szCs w:val="22"/>
        </w:rPr>
        <w:t xml:space="preserve"/>
      </w:r>
    </w:p>
    <w:p>
      <w:pPr>
        <w:pStyle w:val="Heading1"/>
        <w:pBdr>
          <w:bottom w:val="single" w:color="2E5FA3" w:sz="8" w:space="4"/>
        </w:pBdr>
        <w:spacing w:after="120" w:before="360"/>
      </w:pPr>
      <w:r>
        <w:rPr>
          <w:rFonts w:ascii="Arial" w:cs="Arial" w:eastAsia="Arial" w:hAnsi="Arial"/>
          <w:b/>
          <w:bCs/>
          <w:color w:val="1B3A6B"/>
          <w:sz w:val="30"/>
          <w:szCs w:val="30"/>
        </w:rPr>
        <w:t xml:space="preserve">10. Conclusion</w:t>
      </w:r>
    </w:p>
    <w:p>
      <w:pPr>
        <w:spacing w:after="120" w:before="60" w:line="360"/>
        <w:jc w:val="both"/>
      </w:pPr>
      <w:r>
        <w:rPr>
          <w:rFonts w:ascii="Arial" w:cs="Arial" w:eastAsia="Arial" w:hAnsi="Arial"/>
          <w:b w:val="false"/>
          <w:bCs w:val="false"/>
          <w:i w:val="false"/>
          <w:iCs w:val="false"/>
          <w:color w:val="111827"/>
          <w:sz w:val="22"/>
          <w:szCs w:val="22"/>
        </w:rPr>
        <w:t xml:space="preserve">This study set out to answer a simple but consequential question: how efficiently is the UAC care pipeline actually moving children through its stages, and where is it falling short? The answer, drawn from nearly three years of daily operational data, is that the system has made genuine and measurable progress, but that real bottlenecks remain, particularly around the consistency of the CBP-to-HHS handoff and the declining discharge rate in 2025.</w:t>
      </w:r>
    </w:p>
    <w:p>
      <w:pPr>
        <w:spacing w:after="120" w:before="60" w:line="360"/>
        <w:jc w:val="both"/>
      </w:pPr>
      <w:r>
        <w:rPr>
          <w:rFonts w:ascii="Arial" w:cs="Arial" w:eastAsia="Arial" w:hAnsi="Arial"/>
          <w:b w:val="false"/>
          <w:bCs w:val="false"/>
          <w:i w:val="false"/>
          <w:iCs w:val="false"/>
          <w:color w:val="111827"/>
          <w:sz w:val="22"/>
          <w:szCs w:val="22"/>
        </w:rPr>
        <w:t xml:space="preserve">The most significant positive finding is the dramatic reduction in HHS census over the study period, from a peak of 11,516 in December 2023 to levels consistently below 2,500 in 2025. This represents a real improvement in the lives of children who would otherwise have spent more time in government facilities. The Pipeline Throughput Rate of 1.64 confirms that the system is, overall, a net reducer of its own load.</w:t>
      </w:r>
    </w:p>
    <w:p>
      <w:pPr>
        <w:spacing w:after="120" w:before="60" w:line="360"/>
        <w:jc w:val="both"/>
      </w:pPr>
      <w:r>
        <w:rPr>
          <w:rFonts w:ascii="Arial" w:cs="Arial" w:eastAsia="Arial" w:hAnsi="Arial"/>
          <w:b w:val="false"/>
          <w:bCs w:val="false"/>
          <w:i w:val="false"/>
          <w:iCs w:val="false"/>
          <w:color w:val="111827"/>
          <w:sz w:val="22"/>
          <w:szCs w:val="22"/>
        </w:rPr>
        <w:t xml:space="preserve">At the same time, the analysis reveals structural vulnerabilities that deserve attention. The weekday bias in both transfers and discharges creates systematic gaps in coverage for children who arrive or whose cases mature near the end of the week. The high variability in daily discharge volumes makes it difficult to plan resources and creates uncertainty for sponsors and advocacy organizations alike. And the declining DEI in 2025, if it reflects a structural slowdown in case resolution rather than simply a compositional shift toward more complex cases, represents an important efficiency gap in a system where time in custody has real costs for children.</w:t>
      </w:r>
    </w:p>
    <w:p>
      <w:pPr>
        <w:spacing w:after="120" w:before="60" w:line="360"/>
        <w:jc w:val="both"/>
      </w:pPr>
      <w:r>
        <w:rPr>
          <w:rFonts w:ascii="Arial" w:cs="Arial" w:eastAsia="Arial" w:hAnsi="Arial"/>
          <w:b w:val="false"/>
          <w:bCs w:val="false"/>
          <w:i w:val="false"/>
          <w:iCs w:val="false"/>
          <w:color w:val="111827"/>
          <w:sz w:val="22"/>
          <w:szCs w:val="22"/>
        </w:rPr>
        <w:t xml:space="preserve">Perhaps the most important contribution of this research is methodological. By demonstrating that meaningful process efficiency metrics can be derived from the aggregate daily data that HHS already collects, this study points the way toward a more systematic, data-driven approach to monitoring and improving the UAC care pipeline. The children moving through this system deserve not just the resources it provides, but the ongoing commitment to make it as fast, consistent, and humane as it can possibly be.</w:t>
      </w:r>
    </w:p>
    <w:p>
      <w:pPr>
        <w:spacing w:after="80" w:before="0"/>
      </w:pPr>
      <w:r>
        <w:rPr>
          <w:rFonts w:ascii="Arial" w:cs="Arial" w:eastAsia="Arial" w:hAnsi="Arial"/>
          <w:sz w:val="22"/>
          <w:szCs w:val="22"/>
        </w:rPr>
        <w:t xml:space="preserve"/>
      </w:r>
    </w:p>
    <w:p>
      <w:pPr>
        <w:pStyle w:val="Heading1"/>
        <w:pBdr>
          <w:bottom w:val="single" w:color="2E5FA3" w:sz="8" w:space="4"/>
        </w:pBdr>
        <w:spacing w:after="120" w:before="360"/>
      </w:pPr>
      <w:r>
        <w:rPr>
          <w:rFonts w:ascii="Arial" w:cs="Arial" w:eastAsia="Arial" w:hAnsi="Arial"/>
          <w:b/>
          <w:bCs/>
          <w:color w:val="1B3A6B"/>
          <w:sz w:val="30"/>
          <w:szCs w:val="30"/>
        </w:rPr>
        <w:t xml:space="preserve">References</w:t>
      </w:r>
    </w:p>
    <w:p>
      <w:pPr>
        <w:spacing w:after="120" w:before="60" w:line="360"/>
        <w:jc w:val="both"/>
      </w:pPr>
      <w:r>
        <w:rPr>
          <w:rFonts w:ascii="Arial" w:cs="Arial" w:eastAsia="Arial" w:hAnsi="Arial"/>
          <w:b w:val="false"/>
          <w:bCs w:val="false"/>
          <w:i w:val="false"/>
          <w:iCs w:val="false"/>
          <w:color w:val="111827"/>
          <w:sz w:val="22"/>
          <w:szCs w:val="22"/>
        </w:rPr>
        <w:t xml:space="preserve">U.S. Department of Health and Human Services, Administration for Children and Families. (2023-2025). Unaccompanied Alien Children Program Operational Data Reports. Office of Refugee Resettlement.</w:t>
      </w:r>
    </w:p>
    <w:p>
      <w:pPr>
        <w:spacing w:after="120" w:before="60" w:line="360"/>
        <w:jc w:val="both"/>
      </w:pPr>
      <w:r>
        <w:rPr>
          <w:rFonts w:ascii="Arial" w:cs="Arial" w:eastAsia="Arial" w:hAnsi="Arial"/>
          <w:b w:val="false"/>
          <w:bCs w:val="false"/>
          <w:i w:val="false"/>
          <w:iCs w:val="false"/>
          <w:color w:val="111827"/>
          <w:sz w:val="22"/>
          <w:szCs w:val="22"/>
        </w:rPr>
        <w:t xml:space="preserve">U.S. Customs and Border Protection. (2023-2025). Southwest Land Border Encounters Data. Department of Homeland Security.</w:t>
      </w:r>
    </w:p>
    <w:p>
      <w:pPr>
        <w:spacing w:after="120" w:before="60" w:line="360"/>
        <w:jc w:val="both"/>
      </w:pPr>
      <w:r>
        <w:rPr>
          <w:rFonts w:ascii="Arial" w:cs="Arial" w:eastAsia="Arial" w:hAnsi="Arial"/>
          <w:b w:val="false"/>
          <w:bCs w:val="false"/>
          <w:i w:val="false"/>
          <w:iCs w:val="false"/>
          <w:color w:val="111827"/>
          <w:sz w:val="22"/>
          <w:szCs w:val="22"/>
        </w:rPr>
        <w:t xml:space="preserve">Flores v. Reno, 507 U.S. 292 (1993). Flores Settlement Agreement governing the detention, release, and treatment of minors in immigration custody.</w:t>
      </w:r>
    </w:p>
    <w:p>
      <w:pPr>
        <w:spacing w:after="120" w:before="60" w:line="360"/>
        <w:jc w:val="both"/>
      </w:pPr>
      <w:r>
        <w:rPr>
          <w:rFonts w:ascii="Arial" w:cs="Arial" w:eastAsia="Arial" w:hAnsi="Arial"/>
          <w:b w:val="false"/>
          <w:bCs w:val="false"/>
          <w:i w:val="false"/>
          <w:iCs w:val="false"/>
          <w:color w:val="111827"/>
          <w:sz w:val="22"/>
          <w:szCs w:val="22"/>
        </w:rPr>
        <w:t xml:space="preserve">William Wilberforce Trafficking Victims Protection Reauthorization Act of 2008, Pub. L. 110-457. Established legal framework for UAC screening and HHS custody requirements.</w:t>
      </w:r>
    </w:p>
    <w:p>
      <w:pPr>
        <w:spacing w:after="120" w:before="60" w:line="360"/>
        <w:jc w:val="both"/>
      </w:pPr>
      <w:r>
        <w:rPr>
          <w:rFonts w:ascii="Arial" w:cs="Arial" w:eastAsia="Arial" w:hAnsi="Arial"/>
          <w:b w:val="false"/>
          <w:bCs w:val="false"/>
          <w:i w:val="false"/>
          <w:iCs w:val="false"/>
          <w:color w:val="111827"/>
          <w:sz w:val="22"/>
          <w:szCs w:val="22"/>
        </w:rPr>
        <w:t xml:space="preserve">U.S. Government Accountability Office. (2023). Unaccompanied Children: ORR Should Strengthen Monitoring of Case Coordinators. GAO-23-105380.</w:t>
      </w:r>
    </w:p>
    <w:p>
      <w:pPr>
        <w:spacing w:after="120" w:before="60" w:line="360"/>
        <w:jc w:val="both"/>
      </w:pPr>
      <w:r>
        <w:rPr>
          <w:rFonts w:ascii="Arial" w:cs="Arial" w:eastAsia="Arial" w:hAnsi="Arial"/>
          <w:b w:val="false"/>
          <w:bCs w:val="false"/>
          <w:i w:val="false"/>
          <w:iCs w:val="false"/>
          <w:color w:val="111827"/>
          <w:sz w:val="22"/>
          <w:szCs w:val="22"/>
        </w:rPr>
        <w:t xml:space="preserve">Office of Inspector General, U.S. Department of Health and Human Services. (2022). HHS Did Not Always Ensure That Unaccompanied Alien Children Were Safe After Release. OEI-09-18-00430.</w:t>
      </w:r>
    </w:p>
    <w:p>
      <w:pPr>
        <w:spacing w:after="80" w:before="0"/>
      </w:pPr>
      <w:r>
        <w:rPr>
          <w:rFonts w:ascii="Arial" w:cs="Arial" w:eastAsia="Arial" w:hAnsi="Arial"/>
          <w:sz w:val="22"/>
          <w:szCs w:val="22"/>
        </w:rPr>
        <w:t xml:space="preserve"/>
      </w:r>
    </w:p>
    <w:p>
      <w:pPr>
        <w:pStyle w:val="Heading1"/>
        <w:pBdr>
          <w:bottom w:val="single" w:color="2E5FA3" w:sz="8" w:space="4"/>
        </w:pBdr>
        <w:spacing w:after="120" w:before="360"/>
      </w:pPr>
      <w:r>
        <w:rPr>
          <w:rFonts w:ascii="Arial" w:cs="Arial" w:eastAsia="Arial" w:hAnsi="Arial"/>
          <w:b/>
          <w:bCs/>
          <w:color w:val="1B3A6B"/>
          <w:sz w:val="30"/>
          <w:szCs w:val="30"/>
        </w:rPr>
        <w:t xml:space="preserve">Appendix: KPI Formula Reference</w:t>
      </w:r>
    </w:p>
    <w:p>
      <w:pPr>
        <w:spacing w:after="120" w:before="60" w:line="360"/>
        <w:jc w:val="both"/>
      </w:pPr>
      <w:r>
        <w:rPr>
          <w:rFonts w:ascii="Arial" w:cs="Arial" w:eastAsia="Arial" w:hAnsi="Arial"/>
          <w:b w:val="false"/>
          <w:bCs w:val="false"/>
          <w:i w:val="false"/>
          <w:iCs w:val="false"/>
          <w:color w:val="111827"/>
          <w:sz w:val="22"/>
          <w:szCs w:val="22"/>
        </w:rPr>
        <w:t xml:space="preserve">For transparency and reproducibility, the exact formulae used to compute each KPI in this study are provided below.</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KPI</w:t>
            </w:r>
          </w:p>
        </w:tc>
        <w:tc>
          <w:tcPr>
            <w:tcW w:type="dxa" w:w="376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Formula</w:t>
            </w:r>
          </w:p>
        </w:tc>
        <w:tc>
          <w:tcPr>
            <w:tcW w:type="dxa" w:w="28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Transfer Efficiency Ratio</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CBP_Transferred ÷ CBP_Custody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0 when CBP_Custody = 0</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Discharge Effectiveness Index</w:t>
            </w:r>
          </w:p>
        </w:tc>
        <w:tc>
          <w:tcPr>
            <w:tcW w:type="dxa" w:w="376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HHS_Discharged ÷ HHS_Care</w:t>
            </w:r>
          </w:p>
        </w:tc>
        <w:tc>
          <w:tcPr>
            <w:tcW w:type="dxa" w:w="280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Small values are expected given large HHS census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Pipeline Throughput Rate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(CBP_Transferred + HHS_Discharged) ÷ (CBP_Apprehended + CBP_Transferred)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Values &gt; 1.0 indicate net clearing</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Backlog Accumulation Rate</w:t>
            </w:r>
          </w:p>
        </w:tc>
        <w:tc>
          <w:tcPr>
            <w:tcW w:type="dxa" w:w="376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CBP_Apprehended - HHS_Discharged</w:t>
            </w:r>
          </w:p>
        </w:tc>
        <w:tc>
          <w:tcPr>
            <w:tcW w:type="dxa" w:w="2800"/>
            <w:tcBorders>
              <w:top w:val="single" w:color="D1D5DB" w:sz="1"/>
              <w:left w:val="single" w:color="D1D5DB" w:sz="1"/>
              <w:bottom w:val="single" w:color="D1D5DB" w:sz="1"/>
              <w:right w:val="single" w:color="D1D5DB" w:sz="1"/>
            </w:tcBorders>
            <w:shd w:fill="F2F4F7" w:val="clear"/>
            <w:tcMar>
              <w:top w:type="dxa" w:w="80"/>
              <w:left w:type="dxa" w:w="140"/>
              <w:bottom w:type="dxa" w:w="80"/>
              <w:right w:type="dxa" w:w="140"/>
            </w:tcMar>
          </w:tcPr>
          <w:p>
            <w:r>
              <w:rPr>
                <w:rFonts w:ascii="Arial" w:cs="Arial" w:eastAsia="Arial" w:hAnsi="Arial"/>
                <w:color w:val="111827"/>
                <w:sz w:val="20"/>
                <w:szCs w:val="20"/>
              </w:rPr>
              <w:t xml:space="preserve">Negative values indicate net system reduction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Outcome Stability Score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7-day rolling std. deviation of HHS_Discharged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Lower = more consistent daily discharge output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80" w:before="280"/>
      <w:outlineLvl w:val="1"/>
    </w:pPr>
    <w:rPr>
      <w:rFonts w:ascii="Arial" w:cs="Arial" w:eastAsia="Arial" w:hAnsi="Arial"/>
      <w:b/>
      <w:bCs/>
      <w:color w:val="2E5FA3"/>
      <w:sz w:val="24"/>
      <w:szCs w:val="24"/>
    </w:rPr>
  </w:style>
  <w:style w:type="paragraph" w:styleId="Heading3">
    <w:name w:val="Heading 3"/>
    <w:basedOn w:val="Normal"/>
    <w:next w:val="Normal"/>
    <w:qFormat/>
    <w:pPr>
      <w:spacing w:after="6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2026-04-26T11:25:59.070Z</dcterms:created>
  <dcterms:modified xsi:type="dcterms:W3CDTF">2026-04-26T11:25:59.071Z</dcterms:modified>
</cp:coreProperties>
</file>

<file path=docProps/custom.xml><?xml version="1.0" encoding="utf-8"?>
<Properties xmlns="http://schemas.openxmlformats.org/officeDocument/2006/custom-properties" xmlns:vt="http://schemas.openxmlformats.org/officeDocument/2006/docPropsVTypes"/>
</file>