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40ED1" w14:textId="79D96C4B" w:rsidR="00D31598" w:rsidRPr="00344279" w:rsidRDefault="00D31598" w:rsidP="00D31598">
      <w:pPr>
        <w:jc w:val="center"/>
        <w:rPr>
          <w:b/>
          <w:bCs/>
          <w:sz w:val="22"/>
          <w:szCs w:val="22"/>
          <w:lang w:val="en-US"/>
        </w:rPr>
      </w:pPr>
      <w:r w:rsidRPr="00344279">
        <w:rPr>
          <w:b/>
          <w:bCs/>
          <w:sz w:val="22"/>
          <w:szCs w:val="22"/>
          <w:lang w:val="en-US"/>
        </w:rPr>
        <w:t>Case Study</w:t>
      </w:r>
    </w:p>
    <w:p w14:paraId="251C78C7" w14:textId="6046BF00" w:rsidR="00D31598" w:rsidRPr="00344279" w:rsidRDefault="00D31598" w:rsidP="00D31598">
      <w:pPr>
        <w:rPr>
          <w:b/>
          <w:bCs/>
          <w:sz w:val="22"/>
          <w:szCs w:val="22"/>
          <w:lang w:val="en-US"/>
        </w:rPr>
      </w:pPr>
      <w:r w:rsidRPr="00344279">
        <w:rPr>
          <w:b/>
          <w:bCs/>
          <w:sz w:val="22"/>
          <w:szCs w:val="22"/>
          <w:lang w:val="en-US"/>
        </w:rPr>
        <w:t>Data Source</w:t>
      </w:r>
    </w:p>
    <w:p w14:paraId="486ED205" w14:textId="64294E6B" w:rsidR="00F21901" w:rsidRPr="00344279" w:rsidRDefault="00B1676B" w:rsidP="00D31598">
      <w:pPr>
        <w:rPr>
          <w:sz w:val="22"/>
          <w:szCs w:val="22"/>
          <w:lang w:val="en-US"/>
        </w:rPr>
      </w:pPr>
      <w:r w:rsidRPr="00344279">
        <w:rPr>
          <w:sz w:val="22"/>
          <w:szCs w:val="22"/>
          <w:lang w:val="en-US"/>
        </w:rPr>
        <w:t>To illustrate</w:t>
      </w:r>
      <w:r w:rsidR="0044065C" w:rsidRPr="00344279">
        <w:rPr>
          <w:sz w:val="22"/>
          <w:szCs w:val="22"/>
          <w:lang w:val="en-US"/>
        </w:rPr>
        <w:t xml:space="preserve"> the methods, </w:t>
      </w:r>
      <w:r w:rsidR="00F21901" w:rsidRPr="00344279">
        <w:rPr>
          <w:sz w:val="22"/>
          <w:szCs w:val="22"/>
          <w:lang w:val="en-US"/>
        </w:rPr>
        <w:t xml:space="preserve">we used </w:t>
      </w:r>
      <w:r w:rsidR="0044065C" w:rsidRPr="00344279">
        <w:rPr>
          <w:sz w:val="22"/>
          <w:szCs w:val="22"/>
          <w:lang w:val="en-US"/>
        </w:rPr>
        <w:t>the MIMIC-III dataset</w:t>
      </w:r>
      <w:r w:rsidR="00F21901" w:rsidRPr="00344279">
        <w:rPr>
          <w:sz w:val="22"/>
          <w:szCs w:val="22"/>
          <w:lang w:val="en-US"/>
        </w:rPr>
        <w:t xml:space="preserve">. This is a freely available database that comprises data of </w:t>
      </w:r>
      <w:r w:rsidR="00FE55E0" w:rsidRPr="00344279">
        <w:rPr>
          <w:sz w:val="22"/>
          <w:szCs w:val="22"/>
          <w:lang w:val="en-US"/>
        </w:rPr>
        <w:t>62722</w:t>
      </w:r>
      <w:r w:rsidR="00310064" w:rsidRPr="00344279">
        <w:rPr>
          <w:b/>
          <w:bCs/>
          <w:sz w:val="22"/>
          <w:szCs w:val="22"/>
          <w:lang w:val="en-US"/>
        </w:rPr>
        <w:t xml:space="preserve"> </w:t>
      </w:r>
      <w:r w:rsidR="00F21901" w:rsidRPr="00344279">
        <w:rPr>
          <w:sz w:val="22"/>
          <w:szCs w:val="22"/>
          <w:lang w:val="en-US"/>
        </w:rPr>
        <w:t>patients admitted to the ICU of the Beth Israel Deaconess Medical Center in Boston, Massachusetts between 2001 and 2012. The data consists of demographics, vital sign measurements made every hour, laboratory test results, procedures, medications, caregiver notes, imaging reports, and mortality.</w:t>
      </w:r>
    </w:p>
    <w:p w14:paraId="60E7C001" w14:textId="07933FFC" w:rsidR="00310064" w:rsidRPr="00344279" w:rsidRDefault="00310064" w:rsidP="00D31598">
      <w:pPr>
        <w:rPr>
          <w:sz w:val="22"/>
          <w:szCs w:val="22"/>
          <w:lang w:val="en-US"/>
        </w:rPr>
      </w:pPr>
    </w:p>
    <w:p w14:paraId="370A5155" w14:textId="3CF9123B" w:rsidR="00CB1568" w:rsidRPr="00344279" w:rsidRDefault="00CB1568" w:rsidP="00D31598">
      <w:pPr>
        <w:rPr>
          <w:b/>
          <w:bCs/>
          <w:sz w:val="22"/>
          <w:szCs w:val="22"/>
          <w:lang w:val="en-US"/>
        </w:rPr>
      </w:pPr>
      <w:r w:rsidRPr="00344279">
        <w:rPr>
          <w:b/>
          <w:bCs/>
          <w:sz w:val="22"/>
          <w:szCs w:val="22"/>
          <w:lang w:val="en-US"/>
        </w:rPr>
        <w:t>Data of Interest</w:t>
      </w:r>
    </w:p>
    <w:p w14:paraId="2CC69D1C" w14:textId="629990B6" w:rsidR="00F21901" w:rsidRPr="00344279" w:rsidRDefault="00B1676B" w:rsidP="00D31598">
      <w:pPr>
        <w:rPr>
          <w:sz w:val="22"/>
          <w:szCs w:val="22"/>
          <w:lang w:val="en-US"/>
        </w:rPr>
      </w:pPr>
      <w:r w:rsidRPr="00344279">
        <w:rPr>
          <w:sz w:val="22"/>
          <w:szCs w:val="22"/>
          <w:lang w:val="en-US"/>
        </w:rPr>
        <w:t xml:space="preserve">For the current </w:t>
      </w:r>
      <w:r w:rsidR="00FE55E0" w:rsidRPr="00344279">
        <w:rPr>
          <w:sz w:val="22"/>
          <w:szCs w:val="22"/>
          <w:lang w:val="en-US"/>
        </w:rPr>
        <w:t>case study</w:t>
      </w:r>
      <w:r w:rsidRPr="00344279">
        <w:rPr>
          <w:sz w:val="22"/>
          <w:szCs w:val="22"/>
          <w:lang w:val="en-US"/>
        </w:rPr>
        <w:t xml:space="preserve">, a few specific variables are of interested, based on the Sepsis-related Organ Failure Assessment (SOFA). </w:t>
      </w:r>
      <w:r w:rsidR="00FE55E0" w:rsidRPr="00344279">
        <w:rPr>
          <w:sz w:val="22"/>
          <w:szCs w:val="22"/>
          <w:lang w:val="en-US"/>
        </w:rPr>
        <w:t xml:space="preserve">The SOFA is a measure that is designed to describe a pattern of complications in critically ill patients that are related to organ failure and death. </w:t>
      </w:r>
      <w:r w:rsidR="00E31D84" w:rsidRPr="00344279">
        <w:rPr>
          <w:sz w:val="22"/>
          <w:szCs w:val="22"/>
          <w:lang w:val="en-US"/>
        </w:rPr>
        <w:t>For computation of the SOFA score, the variables FiO2, PaO2, the number of platelets, the bilirubin level, the Glasgow coma score, MAP, creatinine level, and the urine output are of importance. Of specific interest are the ‘worst’ scores of these variables in the last 24 hours, i.e.</w:t>
      </w:r>
      <w:r w:rsidR="00BF70E2" w:rsidRPr="00344279">
        <w:rPr>
          <w:sz w:val="22"/>
          <w:szCs w:val="22"/>
          <w:lang w:val="en-US"/>
        </w:rPr>
        <w:t xml:space="preserve">, </w:t>
      </w:r>
      <w:r w:rsidR="00E31D84" w:rsidRPr="00344279">
        <w:rPr>
          <w:sz w:val="22"/>
          <w:szCs w:val="22"/>
          <w:lang w:val="en-US"/>
        </w:rPr>
        <w:t>the level in the last 24 hours that would yield the worst SOFA score.</w:t>
      </w:r>
    </w:p>
    <w:p w14:paraId="38518071" w14:textId="77777777" w:rsidR="00CB1568" w:rsidRPr="00344279" w:rsidRDefault="00CB1568" w:rsidP="00D31598">
      <w:pPr>
        <w:rPr>
          <w:sz w:val="22"/>
          <w:szCs w:val="22"/>
          <w:lang w:val="en-US"/>
        </w:rPr>
      </w:pPr>
    </w:p>
    <w:p w14:paraId="049D8496" w14:textId="5E4B3DEB" w:rsidR="00ED11E0" w:rsidRPr="00344279" w:rsidRDefault="00CB1568" w:rsidP="00D31598">
      <w:pPr>
        <w:rPr>
          <w:b/>
          <w:bCs/>
          <w:sz w:val="22"/>
          <w:szCs w:val="22"/>
          <w:lang w:val="en-US"/>
        </w:rPr>
      </w:pPr>
      <w:r w:rsidRPr="00344279">
        <w:rPr>
          <w:b/>
          <w:bCs/>
          <w:sz w:val="22"/>
          <w:szCs w:val="22"/>
          <w:lang w:val="en-US"/>
        </w:rPr>
        <w:t>Data Extraction</w:t>
      </w:r>
    </w:p>
    <w:p w14:paraId="1A0C4277" w14:textId="274B2A5E" w:rsidR="00F33B94" w:rsidRPr="00344279" w:rsidRDefault="00ED11E0" w:rsidP="00D31598">
      <w:pPr>
        <w:rPr>
          <w:sz w:val="22"/>
          <w:szCs w:val="22"/>
          <w:lang w:val="en-US"/>
        </w:rPr>
      </w:pPr>
      <w:r w:rsidRPr="00344279">
        <w:rPr>
          <w:sz w:val="22"/>
          <w:szCs w:val="22"/>
          <w:lang w:val="en-US"/>
        </w:rPr>
        <w:t>We extracted the data using the ‘</w:t>
      </w:r>
      <w:proofErr w:type="spellStart"/>
      <w:r w:rsidRPr="00344279">
        <w:rPr>
          <w:sz w:val="22"/>
          <w:szCs w:val="22"/>
          <w:lang w:val="en-US"/>
        </w:rPr>
        <w:t>ricu</w:t>
      </w:r>
      <w:proofErr w:type="spellEnd"/>
      <w:r w:rsidRPr="00344279">
        <w:rPr>
          <w:sz w:val="22"/>
          <w:szCs w:val="22"/>
          <w:lang w:val="en-US"/>
        </w:rPr>
        <w:t>’ package in R. For each of the relevant variables, the worst value in 24 hours before discharge from the ICU was extracted, as well as a variable indicating whether they died or not.</w:t>
      </w:r>
      <w:r w:rsidR="002A5C55" w:rsidRPr="00344279">
        <w:rPr>
          <w:sz w:val="22"/>
          <w:szCs w:val="22"/>
          <w:lang w:val="en-US"/>
        </w:rPr>
        <w:t xml:space="preserve"> Explorations showed that 1830 patients had </w:t>
      </w:r>
      <w:proofErr w:type="gramStart"/>
      <w:r w:rsidR="002A5C55" w:rsidRPr="00344279">
        <w:rPr>
          <w:sz w:val="22"/>
          <w:szCs w:val="22"/>
          <w:lang w:val="en-US"/>
        </w:rPr>
        <w:t>NA’s</w:t>
      </w:r>
      <w:proofErr w:type="gramEnd"/>
      <w:r w:rsidR="002A5C55" w:rsidRPr="00344279">
        <w:rPr>
          <w:sz w:val="22"/>
          <w:szCs w:val="22"/>
          <w:lang w:val="en-US"/>
        </w:rPr>
        <w:t xml:space="preserve"> on each variable other than death. Since these variables will act as predictors of death, the data of these patients are not of use for the current research and were thus deleted. Table […] shows </w:t>
      </w:r>
      <w:proofErr w:type="spellStart"/>
      <w:r w:rsidR="002A5C55" w:rsidRPr="00344279">
        <w:rPr>
          <w:sz w:val="22"/>
          <w:szCs w:val="22"/>
          <w:lang w:val="en-US"/>
        </w:rPr>
        <w:t>descriptives</w:t>
      </w:r>
      <w:proofErr w:type="spellEnd"/>
      <w:r w:rsidR="002A5C55" w:rsidRPr="00344279">
        <w:rPr>
          <w:sz w:val="22"/>
          <w:szCs w:val="22"/>
          <w:lang w:val="en-US"/>
        </w:rPr>
        <w:t xml:space="preserve"> of the relevant continuous variables of the 60892 remaining patients.</w:t>
      </w:r>
      <w:r w:rsidR="00CB1568" w:rsidRPr="00344279">
        <w:rPr>
          <w:sz w:val="22"/>
          <w:szCs w:val="22"/>
          <w:lang w:val="en-US"/>
        </w:rPr>
        <w:t xml:space="preserve"> In addition, 6589 of the patients died </w:t>
      </w:r>
      <w:r w:rsidR="00344279">
        <w:rPr>
          <w:sz w:val="22"/>
          <w:szCs w:val="22"/>
          <w:lang w:val="en-US"/>
        </w:rPr>
        <w:t xml:space="preserve">and </w:t>
      </w:r>
      <w:r w:rsidR="00CB1568" w:rsidRPr="00344279">
        <w:rPr>
          <w:sz w:val="22"/>
          <w:szCs w:val="22"/>
          <w:lang w:val="en-US"/>
        </w:rPr>
        <w:t>54303 did not.</w:t>
      </w:r>
      <w:r w:rsidR="00E32835">
        <w:rPr>
          <w:sz w:val="22"/>
          <w:szCs w:val="22"/>
          <w:lang w:val="en-US"/>
        </w:rPr>
        <w:t xml:space="preserve"> The data presented 115 different missing data patterns.</w:t>
      </w:r>
    </w:p>
    <w:p w14:paraId="2B971948" w14:textId="5EB19D58" w:rsidR="002A5C55" w:rsidRPr="00344279" w:rsidRDefault="002A5C55" w:rsidP="00D31598">
      <w:pPr>
        <w:rPr>
          <w:sz w:val="22"/>
          <w:szCs w:val="22"/>
          <w:lang w:val="en-US"/>
        </w:rPr>
      </w:pPr>
    </w:p>
    <w:p w14:paraId="1649170A" w14:textId="11B5B107" w:rsidR="00CB1568" w:rsidRPr="00344279" w:rsidRDefault="00344279" w:rsidP="00D31598">
      <w:pPr>
        <w:rPr>
          <w:i/>
          <w:iCs/>
          <w:sz w:val="22"/>
          <w:szCs w:val="22"/>
          <w:lang w:val="en-US"/>
        </w:rPr>
      </w:pPr>
      <w:r w:rsidRPr="00344279">
        <w:rPr>
          <w:b/>
          <w:bCs/>
          <w:sz w:val="22"/>
          <w:szCs w:val="22"/>
          <w:lang w:val="en-US"/>
        </w:rPr>
        <w:t xml:space="preserve">Table […]. </w:t>
      </w:r>
      <w:proofErr w:type="spellStart"/>
      <w:r w:rsidR="00CB1568" w:rsidRPr="00344279">
        <w:rPr>
          <w:i/>
          <w:iCs/>
          <w:sz w:val="22"/>
          <w:szCs w:val="22"/>
          <w:lang w:val="en-US"/>
        </w:rPr>
        <w:t>Descriptives</w:t>
      </w:r>
      <w:proofErr w:type="spellEnd"/>
      <w:r w:rsidR="00CB1568" w:rsidRPr="00344279">
        <w:rPr>
          <w:i/>
          <w:iCs/>
          <w:sz w:val="22"/>
          <w:szCs w:val="22"/>
          <w:lang w:val="en-US"/>
        </w:rPr>
        <w:t xml:space="preserve"> of Worst Values in the Last 24 Hours of Predictors from MIMIC Dataset.</w:t>
      </w:r>
    </w:p>
    <w:p w14:paraId="78D2CF14" w14:textId="4A5F2940" w:rsidR="002A5C55" w:rsidRPr="00344279" w:rsidRDefault="002A5C55" w:rsidP="00D31598">
      <w:pPr>
        <w:rPr>
          <w:sz w:val="22"/>
          <w:szCs w:val="22"/>
          <w:lang w:val="en-US"/>
        </w:rPr>
      </w:pPr>
    </w:p>
    <w:tbl>
      <w:tblPr>
        <w:tblStyle w:val="TableGrid"/>
        <w:tblW w:w="9209" w:type="dxa"/>
        <w:tblLook w:val="04A0" w:firstRow="1" w:lastRow="0" w:firstColumn="1" w:lastColumn="0" w:noHBand="0" w:noVBand="1"/>
      </w:tblPr>
      <w:tblGrid>
        <w:gridCol w:w="4106"/>
        <w:gridCol w:w="1276"/>
        <w:gridCol w:w="1134"/>
        <w:gridCol w:w="992"/>
        <w:gridCol w:w="1701"/>
      </w:tblGrid>
      <w:tr w:rsidR="002A5C55" w:rsidRPr="00344279" w14:paraId="12718C32" w14:textId="77777777" w:rsidTr="00CB1568">
        <w:tc>
          <w:tcPr>
            <w:tcW w:w="4106" w:type="dxa"/>
            <w:tcBorders>
              <w:top w:val="nil"/>
              <w:left w:val="nil"/>
              <w:bottom w:val="single" w:sz="4" w:space="0" w:color="auto"/>
              <w:right w:val="nil"/>
            </w:tcBorders>
          </w:tcPr>
          <w:p w14:paraId="7D8022F6" w14:textId="1025D899" w:rsidR="002A5C55" w:rsidRPr="00344279" w:rsidRDefault="00AD25D3" w:rsidP="00D31598">
            <w:pPr>
              <w:rPr>
                <w:b/>
                <w:bCs/>
                <w:sz w:val="22"/>
                <w:szCs w:val="22"/>
                <w:lang w:val="en-US"/>
              </w:rPr>
            </w:pPr>
            <w:r w:rsidRPr="00344279">
              <w:rPr>
                <w:b/>
                <w:bCs/>
                <w:sz w:val="22"/>
                <w:szCs w:val="22"/>
                <w:lang w:val="en-US"/>
              </w:rPr>
              <w:t>Predictor</w:t>
            </w:r>
          </w:p>
        </w:tc>
        <w:tc>
          <w:tcPr>
            <w:tcW w:w="1276" w:type="dxa"/>
            <w:tcBorders>
              <w:top w:val="nil"/>
              <w:left w:val="nil"/>
              <w:bottom w:val="single" w:sz="4" w:space="0" w:color="auto"/>
              <w:right w:val="nil"/>
            </w:tcBorders>
          </w:tcPr>
          <w:p w14:paraId="37CA43B5" w14:textId="71E0C982" w:rsidR="002A5C55" w:rsidRPr="00344279" w:rsidRDefault="002A5C55" w:rsidP="00CB1568">
            <w:pPr>
              <w:jc w:val="center"/>
              <w:rPr>
                <w:b/>
                <w:bCs/>
                <w:i/>
                <w:iCs/>
                <w:sz w:val="22"/>
                <w:szCs w:val="22"/>
                <w:lang w:val="en-US"/>
              </w:rPr>
            </w:pPr>
            <w:r w:rsidRPr="00344279">
              <w:rPr>
                <w:b/>
                <w:bCs/>
                <w:i/>
                <w:iCs/>
                <w:sz w:val="22"/>
                <w:szCs w:val="22"/>
                <w:lang w:val="en-US"/>
              </w:rPr>
              <w:t>M</w:t>
            </w:r>
          </w:p>
        </w:tc>
        <w:tc>
          <w:tcPr>
            <w:tcW w:w="1134" w:type="dxa"/>
            <w:tcBorders>
              <w:top w:val="nil"/>
              <w:left w:val="nil"/>
              <w:bottom w:val="single" w:sz="4" w:space="0" w:color="auto"/>
              <w:right w:val="nil"/>
            </w:tcBorders>
          </w:tcPr>
          <w:p w14:paraId="659458D5" w14:textId="18BEFF5F" w:rsidR="002A5C55" w:rsidRPr="00344279" w:rsidRDefault="002A5C55" w:rsidP="00CB1568">
            <w:pPr>
              <w:jc w:val="center"/>
              <w:rPr>
                <w:b/>
                <w:bCs/>
                <w:i/>
                <w:iCs/>
                <w:sz w:val="22"/>
                <w:szCs w:val="22"/>
                <w:lang w:val="en-US"/>
              </w:rPr>
            </w:pPr>
            <w:r w:rsidRPr="00344279">
              <w:rPr>
                <w:b/>
                <w:bCs/>
                <w:i/>
                <w:iCs/>
                <w:sz w:val="22"/>
                <w:szCs w:val="22"/>
                <w:lang w:val="en-US"/>
              </w:rPr>
              <w:t>SD</w:t>
            </w:r>
          </w:p>
        </w:tc>
        <w:tc>
          <w:tcPr>
            <w:tcW w:w="992" w:type="dxa"/>
            <w:tcBorders>
              <w:top w:val="nil"/>
              <w:left w:val="nil"/>
              <w:bottom w:val="single" w:sz="4" w:space="0" w:color="auto"/>
              <w:right w:val="nil"/>
            </w:tcBorders>
          </w:tcPr>
          <w:p w14:paraId="2774AED3" w14:textId="06707E7C" w:rsidR="002A5C55" w:rsidRPr="00344279" w:rsidRDefault="002A5C55" w:rsidP="00CB1568">
            <w:pPr>
              <w:jc w:val="center"/>
              <w:rPr>
                <w:b/>
                <w:bCs/>
                <w:i/>
                <w:iCs/>
                <w:sz w:val="22"/>
                <w:szCs w:val="22"/>
                <w:lang w:val="en-US"/>
              </w:rPr>
            </w:pPr>
            <w:r w:rsidRPr="00344279">
              <w:rPr>
                <w:b/>
                <w:bCs/>
                <w:i/>
                <w:iCs/>
                <w:sz w:val="22"/>
                <w:szCs w:val="22"/>
                <w:lang w:val="en-US"/>
              </w:rPr>
              <w:t>NA’s</w:t>
            </w:r>
          </w:p>
        </w:tc>
        <w:tc>
          <w:tcPr>
            <w:tcW w:w="1701" w:type="dxa"/>
            <w:tcBorders>
              <w:top w:val="nil"/>
              <w:left w:val="nil"/>
              <w:bottom w:val="single" w:sz="4" w:space="0" w:color="auto"/>
              <w:right w:val="nil"/>
            </w:tcBorders>
          </w:tcPr>
          <w:p w14:paraId="0720DAAB" w14:textId="4FC3D950" w:rsidR="002A5C55" w:rsidRPr="00344279" w:rsidRDefault="002A5C55" w:rsidP="00CB1568">
            <w:pPr>
              <w:jc w:val="center"/>
              <w:rPr>
                <w:b/>
                <w:bCs/>
                <w:i/>
                <w:iCs/>
                <w:sz w:val="22"/>
                <w:szCs w:val="22"/>
                <w:lang w:val="en-US"/>
              </w:rPr>
            </w:pPr>
            <w:r w:rsidRPr="00344279">
              <w:rPr>
                <w:b/>
                <w:bCs/>
                <w:i/>
                <w:iCs/>
                <w:sz w:val="22"/>
                <w:szCs w:val="22"/>
                <w:lang w:val="en-US"/>
              </w:rPr>
              <w:t>Complete Rate</w:t>
            </w:r>
          </w:p>
        </w:tc>
      </w:tr>
      <w:tr w:rsidR="002A5C55" w:rsidRPr="00344279" w14:paraId="58B5FF6A" w14:textId="77777777" w:rsidTr="00CB1568">
        <w:tc>
          <w:tcPr>
            <w:tcW w:w="4106" w:type="dxa"/>
            <w:tcBorders>
              <w:top w:val="single" w:sz="4" w:space="0" w:color="auto"/>
              <w:left w:val="nil"/>
              <w:bottom w:val="nil"/>
              <w:right w:val="nil"/>
            </w:tcBorders>
          </w:tcPr>
          <w:p w14:paraId="291C04E0" w14:textId="7149E1FA" w:rsidR="002A5C55" w:rsidRPr="00344279" w:rsidRDefault="002A5C55" w:rsidP="00D31598">
            <w:pPr>
              <w:rPr>
                <w:sz w:val="22"/>
                <w:szCs w:val="22"/>
                <w:vertAlign w:val="subscript"/>
                <w:lang w:val="en-US"/>
              </w:rPr>
            </w:pPr>
            <w:r w:rsidRPr="00344279">
              <w:rPr>
                <w:sz w:val="22"/>
                <w:szCs w:val="22"/>
                <w:lang w:val="en-US"/>
              </w:rPr>
              <w:t>FiO</w:t>
            </w:r>
            <w:r w:rsidRPr="00344279">
              <w:rPr>
                <w:sz w:val="22"/>
                <w:szCs w:val="22"/>
                <w:vertAlign w:val="subscript"/>
                <w:lang w:val="en-US"/>
              </w:rPr>
              <w:t>2</w:t>
            </w:r>
          </w:p>
        </w:tc>
        <w:tc>
          <w:tcPr>
            <w:tcW w:w="1276" w:type="dxa"/>
            <w:tcBorders>
              <w:top w:val="single" w:sz="4" w:space="0" w:color="auto"/>
              <w:left w:val="nil"/>
              <w:bottom w:val="nil"/>
              <w:right w:val="nil"/>
            </w:tcBorders>
          </w:tcPr>
          <w:p w14:paraId="32F3CD62" w14:textId="1BBB0AED" w:rsidR="002A5C55" w:rsidRPr="00344279" w:rsidRDefault="005B5A84" w:rsidP="00CB1568">
            <w:pPr>
              <w:jc w:val="center"/>
              <w:rPr>
                <w:sz w:val="22"/>
                <w:szCs w:val="22"/>
                <w:lang w:val="en-US"/>
              </w:rPr>
            </w:pPr>
            <w:r w:rsidRPr="00344279">
              <w:rPr>
                <w:sz w:val="22"/>
                <w:szCs w:val="22"/>
                <w:lang w:val="en-US"/>
              </w:rPr>
              <w:t>79.71</w:t>
            </w:r>
          </w:p>
        </w:tc>
        <w:tc>
          <w:tcPr>
            <w:tcW w:w="1134" w:type="dxa"/>
            <w:tcBorders>
              <w:top w:val="single" w:sz="4" w:space="0" w:color="auto"/>
              <w:left w:val="nil"/>
              <w:bottom w:val="nil"/>
              <w:right w:val="nil"/>
            </w:tcBorders>
          </w:tcPr>
          <w:p w14:paraId="4E1AF16E" w14:textId="4C7D8BE0" w:rsidR="002A5C55" w:rsidRPr="00344279" w:rsidRDefault="005B5A84" w:rsidP="00CB1568">
            <w:pPr>
              <w:jc w:val="center"/>
              <w:rPr>
                <w:sz w:val="22"/>
                <w:szCs w:val="22"/>
                <w:lang w:val="en-US"/>
              </w:rPr>
            </w:pPr>
            <w:r w:rsidRPr="00344279">
              <w:rPr>
                <w:sz w:val="22"/>
                <w:szCs w:val="22"/>
                <w:lang w:val="en-US"/>
              </w:rPr>
              <w:t>25.58</w:t>
            </w:r>
          </w:p>
        </w:tc>
        <w:tc>
          <w:tcPr>
            <w:tcW w:w="992" w:type="dxa"/>
            <w:tcBorders>
              <w:top w:val="single" w:sz="4" w:space="0" w:color="auto"/>
              <w:left w:val="nil"/>
              <w:bottom w:val="nil"/>
              <w:right w:val="nil"/>
            </w:tcBorders>
          </w:tcPr>
          <w:p w14:paraId="046C31FC" w14:textId="05CAE0B5" w:rsidR="002A5C55" w:rsidRPr="00344279" w:rsidRDefault="00830331" w:rsidP="00CB1568">
            <w:pPr>
              <w:jc w:val="center"/>
              <w:rPr>
                <w:sz w:val="22"/>
                <w:szCs w:val="22"/>
                <w:lang w:val="en-US"/>
              </w:rPr>
            </w:pPr>
            <w:r w:rsidRPr="00344279">
              <w:rPr>
                <w:sz w:val="22"/>
                <w:szCs w:val="22"/>
                <w:lang w:val="en-US"/>
              </w:rPr>
              <w:t>33162</w:t>
            </w:r>
          </w:p>
        </w:tc>
        <w:tc>
          <w:tcPr>
            <w:tcW w:w="1701" w:type="dxa"/>
            <w:tcBorders>
              <w:top w:val="single" w:sz="4" w:space="0" w:color="auto"/>
              <w:left w:val="nil"/>
              <w:bottom w:val="nil"/>
              <w:right w:val="nil"/>
            </w:tcBorders>
          </w:tcPr>
          <w:p w14:paraId="7AACF814" w14:textId="705AE9B1" w:rsidR="002A5C55" w:rsidRPr="00344279" w:rsidRDefault="00830331" w:rsidP="00CB1568">
            <w:pPr>
              <w:jc w:val="center"/>
              <w:rPr>
                <w:sz w:val="22"/>
                <w:szCs w:val="22"/>
                <w:lang w:val="en-US"/>
              </w:rPr>
            </w:pPr>
            <w:r w:rsidRPr="00344279">
              <w:rPr>
                <w:sz w:val="22"/>
                <w:szCs w:val="22"/>
                <w:lang w:val="en-US"/>
              </w:rPr>
              <w:t>.46</w:t>
            </w:r>
          </w:p>
        </w:tc>
      </w:tr>
      <w:tr w:rsidR="002A5C55" w:rsidRPr="00344279" w14:paraId="67C3A73D" w14:textId="77777777" w:rsidTr="00CB1568">
        <w:tc>
          <w:tcPr>
            <w:tcW w:w="4106" w:type="dxa"/>
            <w:tcBorders>
              <w:top w:val="nil"/>
              <w:left w:val="nil"/>
              <w:bottom w:val="nil"/>
              <w:right w:val="nil"/>
            </w:tcBorders>
          </w:tcPr>
          <w:p w14:paraId="591471EE" w14:textId="3A6F3752" w:rsidR="002A5C55" w:rsidRPr="00344279" w:rsidRDefault="002A5C55" w:rsidP="00D31598">
            <w:pPr>
              <w:rPr>
                <w:sz w:val="22"/>
                <w:szCs w:val="22"/>
                <w:vertAlign w:val="subscript"/>
                <w:lang w:val="en-US"/>
              </w:rPr>
            </w:pPr>
            <w:r w:rsidRPr="00344279">
              <w:rPr>
                <w:sz w:val="22"/>
                <w:szCs w:val="22"/>
                <w:lang w:val="en-US"/>
              </w:rPr>
              <w:t>PaO</w:t>
            </w:r>
            <w:r w:rsidRPr="00344279">
              <w:rPr>
                <w:sz w:val="22"/>
                <w:szCs w:val="22"/>
                <w:vertAlign w:val="subscript"/>
                <w:lang w:val="en-US"/>
              </w:rPr>
              <w:t>2</w:t>
            </w:r>
          </w:p>
        </w:tc>
        <w:tc>
          <w:tcPr>
            <w:tcW w:w="1276" w:type="dxa"/>
            <w:tcBorders>
              <w:top w:val="nil"/>
              <w:left w:val="nil"/>
              <w:bottom w:val="nil"/>
              <w:right w:val="nil"/>
            </w:tcBorders>
          </w:tcPr>
          <w:p w14:paraId="00638AEF" w14:textId="7F6C8D75" w:rsidR="002A5C55" w:rsidRPr="00344279" w:rsidRDefault="005B5A84" w:rsidP="00CB1568">
            <w:pPr>
              <w:jc w:val="center"/>
              <w:rPr>
                <w:sz w:val="22"/>
                <w:szCs w:val="22"/>
                <w:lang w:val="en-US"/>
              </w:rPr>
            </w:pPr>
            <w:r w:rsidRPr="00344279">
              <w:rPr>
                <w:sz w:val="22"/>
                <w:szCs w:val="22"/>
                <w:lang w:val="en-US"/>
              </w:rPr>
              <w:t>91.55</w:t>
            </w:r>
          </w:p>
        </w:tc>
        <w:tc>
          <w:tcPr>
            <w:tcW w:w="1134" w:type="dxa"/>
            <w:tcBorders>
              <w:top w:val="nil"/>
              <w:left w:val="nil"/>
              <w:bottom w:val="nil"/>
              <w:right w:val="nil"/>
            </w:tcBorders>
          </w:tcPr>
          <w:p w14:paraId="05D5B3A4" w14:textId="0C8D3916" w:rsidR="002A5C55" w:rsidRPr="00344279" w:rsidRDefault="005B5A84" w:rsidP="00CB1568">
            <w:pPr>
              <w:jc w:val="center"/>
              <w:rPr>
                <w:sz w:val="22"/>
                <w:szCs w:val="22"/>
                <w:lang w:val="en-US"/>
              </w:rPr>
            </w:pPr>
            <w:r w:rsidRPr="00344279">
              <w:rPr>
                <w:sz w:val="22"/>
                <w:szCs w:val="22"/>
                <w:lang w:val="en-US"/>
              </w:rPr>
              <w:t>384.86</w:t>
            </w:r>
          </w:p>
        </w:tc>
        <w:tc>
          <w:tcPr>
            <w:tcW w:w="992" w:type="dxa"/>
            <w:tcBorders>
              <w:top w:val="nil"/>
              <w:left w:val="nil"/>
              <w:bottom w:val="nil"/>
              <w:right w:val="nil"/>
            </w:tcBorders>
          </w:tcPr>
          <w:p w14:paraId="629F66AD" w14:textId="7B68450F" w:rsidR="002A5C55" w:rsidRPr="00344279" w:rsidRDefault="00830331" w:rsidP="00CB1568">
            <w:pPr>
              <w:jc w:val="center"/>
              <w:rPr>
                <w:sz w:val="22"/>
                <w:szCs w:val="22"/>
                <w:lang w:val="en-US"/>
              </w:rPr>
            </w:pPr>
            <w:r w:rsidRPr="00344279">
              <w:rPr>
                <w:sz w:val="22"/>
                <w:szCs w:val="22"/>
                <w:lang w:val="en-US"/>
              </w:rPr>
              <w:t>48030</w:t>
            </w:r>
          </w:p>
        </w:tc>
        <w:tc>
          <w:tcPr>
            <w:tcW w:w="1701" w:type="dxa"/>
            <w:tcBorders>
              <w:top w:val="nil"/>
              <w:left w:val="nil"/>
              <w:bottom w:val="nil"/>
              <w:right w:val="nil"/>
            </w:tcBorders>
          </w:tcPr>
          <w:p w14:paraId="725952A0" w14:textId="1FDBFDA5" w:rsidR="002A5C55" w:rsidRPr="00344279" w:rsidRDefault="00830331" w:rsidP="00CB1568">
            <w:pPr>
              <w:jc w:val="center"/>
              <w:rPr>
                <w:sz w:val="22"/>
                <w:szCs w:val="22"/>
                <w:lang w:val="en-US"/>
              </w:rPr>
            </w:pPr>
            <w:r w:rsidRPr="00344279">
              <w:rPr>
                <w:sz w:val="22"/>
                <w:szCs w:val="22"/>
                <w:lang w:val="en-US"/>
              </w:rPr>
              <w:t>.21</w:t>
            </w:r>
          </w:p>
        </w:tc>
      </w:tr>
      <w:tr w:rsidR="002A5C55" w:rsidRPr="00344279" w14:paraId="113430C1" w14:textId="77777777" w:rsidTr="00CB1568">
        <w:tc>
          <w:tcPr>
            <w:tcW w:w="4106" w:type="dxa"/>
            <w:tcBorders>
              <w:top w:val="nil"/>
              <w:left w:val="nil"/>
              <w:bottom w:val="nil"/>
              <w:right w:val="nil"/>
            </w:tcBorders>
          </w:tcPr>
          <w:p w14:paraId="57F3C46C" w14:textId="7901CE54" w:rsidR="002A5C55" w:rsidRPr="00344279" w:rsidRDefault="002A5C55" w:rsidP="00D31598">
            <w:pPr>
              <w:rPr>
                <w:sz w:val="22"/>
                <w:szCs w:val="22"/>
                <w:lang w:val="en-US"/>
              </w:rPr>
            </w:pPr>
            <w:r w:rsidRPr="00344279">
              <w:rPr>
                <w:sz w:val="22"/>
                <w:szCs w:val="22"/>
                <w:lang w:val="en-US"/>
              </w:rPr>
              <w:t>Platelets</w:t>
            </w:r>
          </w:p>
        </w:tc>
        <w:tc>
          <w:tcPr>
            <w:tcW w:w="1276" w:type="dxa"/>
            <w:tcBorders>
              <w:top w:val="nil"/>
              <w:left w:val="nil"/>
              <w:bottom w:val="nil"/>
              <w:right w:val="nil"/>
            </w:tcBorders>
          </w:tcPr>
          <w:p w14:paraId="3DC34757" w14:textId="190C537A" w:rsidR="002A5C55" w:rsidRPr="00344279" w:rsidRDefault="005B5A84" w:rsidP="00CB1568">
            <w:pPr>
              <w:jc w:val="center"/>
              <w:rPr>
                <w:sz w:val="22"/>
                <w:szCs w:val="22"/>
                <w:lang w:val="en-US"/>
              </w:rPr>
            </w:pPr>
            <w:r w:rsidRPr="00344279">
              <w:rPr>
                <w:sz w:val="22"/>
                <w:szCs w:val="22"/>
                <w:lang w:val="en-US"/>
              </w:rPr>
              <w:t>190.04</w:t>
            </w:r>
          </w:p>
        </w:tc>
        <w:tc>
          <w:tcPr>
            <w:tcW w:w="1134" w:type="dxa"/>
            <w:tcBorders>
              <w:top w:val="nil"/>
              <w:left w:val="nil"/>
              <w:bottom w:val="nil"/>
              <w:right w:val="nil"/>
            </w:tcBorders>
          </w:tcPr>
          <w:p w14:paraId="0794A1DC" w14:textId="5420E94C" w:rsidR="002A5C55" w:rsidRPr="00344279" w:rsidRDefault="005B5A84" w:rsidP="00CB1568">
            <w:pPr>
              <w:jc w:val="center"/>
              <w:rPr>
                <w:sz w:val="22"/>
                <w:szCs w:val="22"/>
                <w:lang w:val="en-US"/>
              </w:rPr>
            </w:pPr>
            <w:r w:rsidRPr="00344279">
              <w:rPr>
                <w:sz w:val="22"/>
                <w:szCs w:val="22"/>
                <w:lang w:val="en-US"/>
              </w:rPr>
              <w:t>102.59</w:t>
            </w:r>
          </w:p>
        </w:tc>
        <w:tc>
          <w:tcPr>
            <w:tcW w:w="992" w:type="dxa"/>
            <w:tcBorders>
              <w:top w:val="nil"/>
              <w:left w:val="nil"/>
              <w:bottom w:val="nil"/>
              <w:right w:val="nil"/>
            </w:tcBorders>
          </w:tcPr>
          <w:p w14:paraId="750FC7D3" w14:textId="48685115" w:rsidR="002A5C55" w:rsidRPr="00344279" w:rsidRDefault="00830331" w:rsidP="00CB1568">
            <w:pPr>
              <w:jc w:val="center"/>
              <w:rPr>
                <w:sz w:val="22"/>
                <w:szCs w:val="22"/>
                <w:lang w:val="en-US"/>
              </w:rPr>
            </w:pPr>
            <w:r w:rsidRPr="00344279">
              <w:rPr>
                <w:sz w:val="22"/>
                <w:szCs w:val="22"/>
                <w:lang w:val="en-US"/>
              </w:rPr>
              <w:t>1160</w:t>
            </w:r>
          </w:p>
        </w:tc>
        <w:tc>
          <w:tcPr>
            <w:tcW w:w="1701" w:type="dxa"/>
            <w:tcBorders>
              <w:top w:val="nil"/>
              <w:left w:val="nil"/>
              <w:bottom w:val="nil"/>
              <w:right w:val="nil"/>
            </w:tcBorders>
          </w:tcPr>
          <w:p w14:paraId="6C1232CF" w14:textId="4FF18740" w:rsidR="002A5C55" w:rsidRPr="00344279" w:rsidRDefault="00830331" w:rsidP="00CB1568">
            <w:pPr>
              <w:jc w:val="center"/>
              <w:rPr>
                <w:sz w:val="22"/>
                <w:szCs w:val="22"/>
                <w:lang w:val="en-US"/>
              </w:rPr>
            </w:pPr>
            <w:r w:rsidRPr="00344279">
              <w:rPr>
                <w:sz w:val="22"/>
                <w:szCs w:val="22"/>
                <w:lang w:val="en-US"/>
              </w:rPr>
              <w:t>.98</w:t>
            </w:r>
          </w:p>
        </w:tc>
      </w:tr>
      <w:tr w:rsidR="005B5A84" w:rsidRPr="00344279" w14:paraId="48063E2C" w14:textId="77777777" w:rsidTr="00CB1568">
        <w:tc>
          <w:tcPr>
            <w:tcW w:w="4106" w:type="dxa"/>
            <w:tcBorders>
              <w:top w:val="nil"/>
              <w:left w:val="nil"/>
              <w:bottom w:val="nil"/>
              <w:right w:val="nil"/>
            </w:tcBorders>
          </w:tcPr>
          <w:p w14:paraId="0F08E324" w14:textId="648FE71A" w:rsidR="005B5A84" w:rsidRPr="00344279" w:rsidRDefault="005B5A84" w:rsidP="00D31598">
            <w:pPr>
              <w:rPr>
                <w:sz w:val="22"/>
                <w:szCs w:val="22"/>
                <w:lang w:val="en-US"/>
              </w:rPr>
            </w:pPr>
            <w:r w:rsidRPr="00344279">
              <w:rPr>
                <w:sz w:val="22"/>
                <w:szCs w:val="22"/>
                <w:lang w:val="en-US"/>
              </w:rPr>
              <w:t>Bilirubin</w:t>
            </w:r>
          </w:p>
        </w:tc>
        <w:tc>
          <w:tcPr>
            <w:tcW w:w="1276" w:type="dxa"/>
            <w:tcBorders>
              <w:top w:val="nil"/>
              <w:left w:val="nil"/>
              <w:bottom w:val="nil"/>
              <w:right w:val="nil"/>
            </w:tcBorders>
          </w:tcPr>
          <w:p w14:paraId="62FE921A" w14:textId="3FA52315" w:rsidR="005B5A84" w:rsidRPr="00344279" w:rsidRDefault="005B5A84" w:rsidP="00CB1568">
            <w:pPr>
              <w:jc w:val="center"/>
              <w:rPr>
                <w:sz w:val="22"/>
                <w:szCs w:val="22"/>
                <w:lang w:val="en-US"/>
              </w:rPr>
            </w:pPr>
            <w:r w:rsidRPr="00344279">
              <w:rPr>
                <w:sz w:val="22"/>
                <w:szCs w:val="22"/>
                <w:lang w:val="en-US"/>
              </w:rPr>
              <w:t>3.23</w:t>
            </w:r>
          </w:p>
        </w:tc>
        <w:tc>
          <w:tcPr>
            <w:tcW w:w="1134" w:type="dxa"/>
            <w:tcBorders>
              <w:top w:val="nil"/>
              <w:left w:val="nil"/>
              <w:bottom w:val="nil"/>
              <w:right w:val="nil"/>
            </w:tcBorders>
          </w:tcPr>
          <w:p w14:paraId="5B37C7DC" w14:textId="40DC44C5" w:rsidR="005B5A84" w:rsidRPr="00344279" w:rsidRDefault="005B5A84" w:rsidP="00CB1568">
            <w:pPr>
              <w:jc w:val="center"/>
              <w:rPr>
                <w:sz w:val="22"/>
                <w:szCs w:val="22"/>
                <w:lang w:val="en-US"/>
              </w:rPr>
            </w:pPr>
            <w:r w:rsidRPr="00344279">
              <w:rPr>
                <w:sz w:val="22"/>
                <w:szCs w:val="22"/>
                <w:lang w:val="en-US"/>
              </w:rPr>
              <w:t>5.58</w:t>
            </w:r>
          </w:p>
        </w:tc>
        <w:tc>
          <w:tcPr>
            <w:tcW w:w="992" w:type="dxa"/>
            <w:tcBorders>
              <w:top w:val="nil"/>
              <w:left w:val="nil"/>
              <w:bottom w:val="nil"/>
              <w:right w:val="nil"/>
            </w:tcBorders>
          </w:tcPr>
          <w:p w14:paraId="05FB29A7" w14:textId="756535EE" w:rsidR="005B5A84" w:rsidRPr="00344279" w:rsidRDefault="00830331" w:rsidP="00CB1568">
            <w:pPr>
              <w:jc w:val="center"/>
              <w:rPr>
                <w:sz w:val="22"/>
                <w:szCs w:val="22"/>
                <w:lang w:val="en-US"/>
              </w:rPr>
            </w:pPr>
            <w:r w:rsidRPr="00344279">
              <w:rPr>
                <w:sz w:val="22"/>
                <w:szCs w:val="22"/>
                <w:lang w:val="en-US"/>
              </w:rPr>
              <w:t>20666</w:t>
            </w:r>
          </w:p>
        </w:tc>
        <w:tc>
          <w:tcPr>
            <w:tcW w:w="1701" w:type="dxa"/>
            <w:tcBorders>
              <w:top w:val="nil"/>
              <w:left w:val="nil"/>
              <w:bottom w:val="nil"/>
              <w:right w:val="nil"/>
            </w:tcBorders>
          </w:tcPr>
          <w:p w14:paraId="0F79A045" w14:textId="3DE72938" w:rsidR="005B5A84" w:rsidRPr="00344279" w:rsidRDefault="00830331" w:rsidP="00CB1568">
            <w:pPr>
              <w:jc w:val="center"/>
              <w:rPr>
                <w:sz w:val="22"/>
                <w:szCs w:val="22"/>
                <w:lang w:val="en-US"/>
              </w:rPr>
            </w:pPr>
            <w:r w:rsidRPr="00344279">
              <w:rPr>
                <w:sz w:val="22"/>
                <w:szCs w:val="22"/>
                <w:lang w:val="en-US"/>
              </w:rPr>
              <w:t>.66</w:t>
            </w:r>
          </w:p>
        </w:tc>
      </w:tr>
      <w:tr w:rsidR="002A5C55" w:rsidRPr="00344279" w14:paraId="1A4F128C" w14:textId="77777777" w:rsidTr="00CB1568">
        <w:tc>
          <w:tcPr>
            <w:tcW w:w="4106" w:type="dxa"/>
            <w:tcBorders>
              <w:top w:val="nil"/>
              <w:left w:val="nil"/>
              <w:bottom w:val="nil"/>
              <w:right w:val="nil"/>
            </w:tcBorders>
          </w:tcPr>
          <w:p w14:paraId="1A3F11D7" w14:textId="18DECDE3" w:rsidR="002A5C55" w:rsidRPr="00344279" w:rsidRDefault="005B5A84" w:rsidP="00D31598">
            <w:pPr>
              <w:rPr>
                <w:sz w:val="22"/>
                <w:szCs w:val="22"/>
                <w:lang w:val="en-US"/>
              </w:rPr>
            </w:pPr>
            <w:r w:rsidRPr="00344279">
              <w:rPr>
                <w:sz w:val="22"/>
                <w:szCs w:val="22"/>
                <w:lang w:val="en-US"/>
              </w:rPr>
              <w:t>Glasgow Coma Score (non-sedated)</w:t>
            </w:r>
          </w:p>
        </w:tc>
        <w:tc>
          <w:tcPr>
            <w:tcW w:w="1276" w:type="dxa"/>
            <w:tcBorders>
              <w:top w:val="nil"/>
              <w:left w:val="nil"/>
              <w:bottom w:val="nil"/>
              <w:right w:val="nil"/>
            </w:tcBorders>
          </w:tcPr>
          <w:p w14:paraId="009C21A7" w14:textId="1C678927" w:rsidR="002A5C55" w:rsidRPr="00344279" w:rsidRDefault="005B5A84" w:rsidP="00CB1568">
            <w:pPr>
              <w:jc w:val="center"/>
              <w:rPr>
                <w:sz w:val="22"/>
                <w:szCs w:val="22"/>
                <w:lang w:val="en-US"/>
              </w:rPr>
            </w:pPr>
            <w:r w:rsidRPr="00344279">
              <w:rPr>
                <w:sz w:val="22"/>
                <w:szCs w:val="22"/>
                <w:lang w:val="en-US"/>
              </w:rPr>
              <w:t>12.65</w:t>
            </w:r>
          </w:p>
        </w:tc>
        <w:tc>
          <w:tcPr>
            <w:tcW w:w="1134" w:type="dxa"/>
            <w:tcBorders>
              <w:top w:val="nil"/>
              <w:left w:val="nil"/>
              <w:bottom w:val="nil"/>
              <w:right w:val="nil"/>
            </w:tcBorders>
          </w:tcPr>
          <w:p w14:paraId="00C3AE28" w14:textId="6AF5DAF8" w:rsidR="002A5C55" w:rsidRPr="00344279" w:rsidRDefault="005B5A84" w:rsidP="00CB1568">
            <w:pPr>
              <w:jc w:val="center"/>
              <w:rPr>
                <w:sz w:val="22"/>
                <w:szCs w:val="22"/>
                <w:lang w:val="en-US"/>
              </w:rPr>
            </w:pPr>
            <w:r w:rsidRPr="00344279">
              <w:rPr>
                <w:sz w:val="22"/>
                <w:szCs w:val="22"/>
                <w:lang w:val="en-US"/>
              </w:rPr>
              <w:t>3.47</w:t>
            </w:r>
          </w:p>
        </w:tc>
        <w:tc>
          <w:tcPr>
            <w:tcW w:w="992" w:type="dxa"/>
            <w:tcBorders>
              <w:top w:val="nil"/>
              <w:left w:val="nil"/>
              <w:bottom w:val="nil"/>
              <w:right w:val="nil"/>
            </w:tcBorders>
          </w:tcPr>
          <w:p w14:paraId="21EBCAE5" w14:textId="734F70B9" w:rsidR="002A5C55" w:rsidRPr="00344279" w:rsidRDefault="00830331" w:rsidP="00CB1568">
            <w:pPr>
              <w:jc w:val="center"/>
              <w:rPr>
                <w:sz w:val="22"/>
                <w:szCs w:val="22"/>
                <w:lang w:val="en-US"/>
              </w:rPr>
            </w:pPr>
            <w:r w:rsidRPr="00344279">
              <w:rPr>
                <w:sz w:val="22"/>
                <w:szCs w:val="22"/>
                <w:lang w:val="en-US"/>
              </w:rPr>
              <w:t>8537</w:t>
            </w:r>
          </w:p>
        </w:tc>
        <w:tc>
          <w:tcPr>
            <w:tcW w:w="1701" w:type="dxa"/>
            <w:tcBorders>
              <w:top w:val="nil"/>
              <w:left w:val="nil"/>
              <w:bottom w:val="nil"/>
              <w:right w:val="nil"/>
            </w:tcBorders>
          </w:tcPr>
          <w:p w14:paraId="6DFCE7A2" w14:textId="00255A02" w:rsidR="002A5C55" w:rsidRPr="00344279" w:rsidRDefault="00830331" w:rsidP="00CB1568">
            <w:pPr>
              <w:jc w:val="center"/>
              <w:rPr>
                <w:sz w:val="22"/>
                <w:szCs w:val="22"/>
                <w:lang w:val="en-US"/>
              </w:rPr>
            </w:pPr>
            <w:r w:rsidRPr="00344279">
              <w:rPr>
                <w:sz w:val="22"/>
                <w:szCs w:val="22"/>
                <w:lang w:val="en-US"/>
              </w:rPr>
              <w:t>.86</w:t>
            </w:r>
          </w:p>
        </w:tc>
      </w:tr>
      <w:tr w:rsidR="002A5C55" w:rsidRPr="00344279" w14:paraId="196BB329" w14:textId="77777777" w:rsidTr="00CB1568">
        <w:tc>
          <w:tcPr>
            <w:tcW w:w="4106" w:type="dxa"/>
            <w:tcBorders>
              <w:top w:val="nil"/>
              <w:left w:val="nil"/>
              <w:bottom w:val="nil"/>
              <w:right w:val="nil"/>
            </w:tcBorders>
          </w:tcPr>
          <w:p w14:paraId="6687442C" w14:textId="131BC563" w:rsidR="002A5C55" w:rsidRPr="00344279" w:rsidRDefault="005B5A84" w:rsidP="00D31598">
            <w:pPr>
              <w:rPr>
                <w:sz w:val="22"/>
                <w:szCs w:val="22"/>
                <w:lang w:val="en-US"/>
              </w:rPr>
            </w:pPr>
            <w:r w:rsidRPr="00344279">
              <w:rPr>
                <w:sz w:val="22"/>
                <w:szCs w:val="22"/>
                <w:lang w:val="en-US"/>
              </w:rPr>
              <w:t>Glasgow Coma Score (total)</w:t>
            </w:r>
          </w:p>
        </w:tc>
        <w:tc>
          <w:tcPr>
            <w:tcW w:w="1276" w:type="dxa"/>
            <w:tcBorders>
              <w:top w:val="nil"/>
              <w:left w:val="nil"/>
              <w:bottom w:val="nil"/>
              <w:right w:val="nil"/>
            </w:tcBorders>
          </w:tcPr>
          <w:p w14:paraId="6E4F387A" w14:textId="4E46CC48" w:rsidR="002A5C55" w:rsidRPr="00344279" w:rsidRDefault="005B5A84" w:rsidP="00CB1568">
            <w:pPr>
              <w:jc w:val="center"/>
              <w:rPr>
                <w:sz w:val="22"/>
                <w:szCs w:val="22"/>
                <w:lang w:val="en-US"/>
              </w:rPr>
            </w:pPr>
            <w:r w:rsidRPr="00344279">
              <w:rPr>
                <w:sz w:val="22"/>
                <w:szCs w:val="22"/>
                <w:lang w:val="en-US"/>
              </w:rPr>
              <w:t>9.31</w:t>
            </w:r>
          </w:p>
        </w:tc>
        <w:tc>
          <w:tcPr>
            <w:tcW w:w="1134" w:type="dxa"/>
            <w:tcBorders>
              <w:top w:val="nil"/>
              <w:left w:val="nil"/>
              <w:bottom w:val="nil"/>
              <w:right w:val="nil"/>
            </w:tcBorders>
          </w:tcPr>
          <w:p w14:paraId="7036A11F" w14:textId="0DE10577" w:rsidR="002A5C55" w:rsidRPr="00344279" w:rsidRDefault="005B5A84" w:rsidP="00CB1568">
            <w:pPr>
              <w:jc w:val="center"/>
              <w:rPr>
                <w:sz w:val="22"/>
                <w:szCs w:val="22"/>
                <w:lang w:val="en-US"/>
              </w:rPr>
            </w:pPr>
            <w:r w:rsidRPr="00344279">
              <w:rPr>
                <w:sz w:val="22"/>
                <w:szCs w:val="22"/>
                <w:lang w:val="en-US"/>
              </w:rPr>
              <w:t>5.03</w:t>
            </w:r>
          </w:p>
        </w:tc>
        <w:tc>
          <w:tcPr>
            <w:tcW w:w="992" w:type="dxa"/>
            <w:tcBorders>
              <w:top w:val="nil"/>
              <w:left w:val="nil"/>
              <w:bottom w:val="nil"/>
              <w:right w:val="nil"/>
            </w:tcBorders>
          </w:tcPr>
          <w:p w14:paraId="63EDEA95" w14:textId="4BC986FF" w:rsidR="002A5C55" w:rsidRPr="00344279" w:rsidRDefault="00830331" w:rsidP="00CB1568">
            <w:pPr>
              <w:jc w:val="center"/>
              <w:rPr>
                <w:sz w:val="22"/>
                <w:szCs w:val="22"/>
                <w:lang w:val="en-US"/>
              </w:rPr>
            </w:pPr>
            <w:r w:rsidRPr="00344279">
              <w:rPr>
                <w:sz w:val="22"/>
                <w:szCs w:val="22"/>
                <w:lang w:val="en-US"/>
              </w:rPr>
              <w:t>31853</w:t>
            </w:r>
          </w:p>
        </w:tc>
        <w:tc>
          <w:tcPr>
            <w:tcW w:w="1701" w:type="dxa"/>
            <w:tcBorders>
              <w:top w:val="nil"/>
              <w:left w:val="nil"/>
              <w:bottom w:val="nil"/>
              <w:right w:val="nil"/>
            </w:tcBorders>
          </w:tcPr>
          <w:p w14:paraId="7AD00563" w14:textId="149FC037" w:rsidR="002A5C55" w:rsidRPr="00344279" w:rsidRDefault="00830331" w:rsidP="00CB1568">
            <w:pPr>
              <w:jc w:val="center"/>
              <w:rPr>
                <w:sz w:val="22"/>
                <w:szCs w:val="22"/>
                <w:lang w:val="en-US"/>
              </w:rPr>
            </w:pPr>
            <w:r w:rsidRPr="00344279">
              <w:rPr>
                <w:sz w:val="22"/>
                <w:szCs w:val="22"/>
                <w:lang w:val="en-US"/>
              </w:rPr>
              <w:t>.48</w:t>
            </w:r>
          </w:p>
        </w:tc>
      </w:tr>
      <w:tr w:rsidR="002A5C55" w:rsidRPr="00344279" w14:paraId="458DF436" w14:textId="77777777" w:rsidTr="00CB1568">
        <w:tc>
          <w:tcPr>
            <w:tcW w:w="4106" w:type="dxa"/>
            <w:tcBorders>
              <w:top w:val="nil"/>
              <w:left w:val="nil"/>
              <w:bottom w:val="nil"/>
              <w:right w:val="nil"/>
            </w:tcBorders>
          </w:tcPr>
          <w:p w14:paraId="53C4D9AD" w14:textId="17A8D2AE" w:rsidR="002A5C55" w:rsidRPr="00344279" w:rsidRDefault="005B5A84" w:rsidP="00D31598">
            <w:pPr>
              <w:rPr>
                <w:sz w:val="22"/>
                <w:szCs w:val="22"/>
                <w:lang w:val="en-US"/>
              </w:rPr>
            </w:pPr>
            <w:r w:rsidRPr="00344279">
              <w:rPr>
                <w:sz w:val="22"/>
                <w:szCs w:val="22"/>
                <w:lang w:val="en-US"/>
              </w:rPr>
              <w:t>MAP</w:t>
            </w:r>
          </w:p>
        </w:tc>
        <w:tc>
          <w:tcPr>
            <w:tcW w:w="1276" w:type="dxa"/>
            <w:tcBorders>
              <w:top w:val="nil"/>
              <w:left w:val="nil"/>
              <w:bottom w:val="nil"/>
              <w:right w:val="nil"/>
            </w:tcBorders>
          </w:tcPr>
          <w:p w14:paraId="41DF9B03" w14:textId="69CEFB94" w:rsidR="002A5C55" w:rsidRPr="00344279" w:rsidRDefault="005B5A84" w:rsidP="00CB1568">
            <w:pPr>
              <w:jc w:val="center"/>
              <w:rPr>
                <w:sz w:val="22"/>
                <w:szCs w:val="22"/>
                <w:lang w:val="en-US"/>
              </w:rPr>
            </w:pPr>
            <w:r w:rsidRPr="00344279">
              <w:rPr>
                <w:sz w:val="22"/>
                <w:szCs w:val="22"/>
                <w:lang w:val="en-US"/>
              </w:rPr>
              <w:t>109.31</w:t>
            </w:r>
          </w:p>
        </w:tc>
        <w:tc>
          <w:tcPr>
            <w:tcW w:w="1134" w:type="dxa"/>
            <w:tcBorders>
              <w:top w:val="nil"/>
              <w:left w:val="nil"/>
              <w:bottom w:val="nil"/>
              <w:right w:val="nil"/>
            </w:tcBorders>
          </w:tcPr>
          <w:p w14:paraId="3A4AA1C6" w14:textId="54601EA4" w:rsidR="002A5C55" w:rsidRPr="00344279" w:rsidRDefault="005B5A84" w:rsidP="00CB1568">
            <w:pPr>
              <w:jc w:val="center"/>
              <w:rPr>
                <w:sz w:val="22"/>
                <w:szCs w:val="22"/>
                <w:lang w:val="en-US"/>
              </w:rPr>
            </w:pPr>
            <w:r w:rsidRPr="00344279">
              <w:rPr>
                <w:sz w:val="22"/>
                <w:szCs w:val="22"/>
                <w:lang w:val="en-US"/>
              </w:rPr>
              <w:t>26.09</w:t>
            </w:r>
          </w:p>
        </w:tc>
        <w:tc>
          <w:tcPr>
            <w:tcW w:w="992" w:type="dxa"/>
            <w:tcBorders>
              <w:top w:val="nil"/>
              <w:left w:val="nil"/>
              <w:bottom w:val="nil"/>
              <w:right w:val="nil"/>
            </w:tcBorders>
          </w:tcPr>
          <w:p w14:paraId="635DF5EF" w14:textId="65309EAC" w:rsidR="002A5C55" w:rsidRPr="00344279" w:rsidRDefault="00830331" w:rsidP="00CB1568">
            <w:pPr>
              <w:jc w:val="center"/>
              <w:rPr>
                <w:sz w:val="22"/>
                <w:szCs w:val="22"/>
                <w:lang w:val="en-US"/>
              </w:rPr>
            </w:pPr>
            <w:r w:rsidRPr="00344279">
              <w:rPr>
                <w:sz w:val="22"/>
                <w:szCs w:val="22"/>
                <w:lang w:val="en-US"/>
              </w:rPr>
              <w:t>8459</w:t>
            </w:r>
          </w:p>
        </w:tc>
        <w:tc>
          <w:tcPr>
            <w:tcW w:w="1701" w:type="dxa"/>
            <w:tcBorders>
              <w:top w:val="nil"/>
              <w:left w:val="nil"/>
              <w:bottom w:val="nil"/>
              <w:right w:val="nil"/>
            </w:tcBorders>
          </w:tcPr>
          <w:p w14:paraId="5C2D010B" w14:textId="0D86A352" w:rsidR="002A5C55" w:rsidRPr="00344279" w:rsidRDefault="00830331" w:rsidP="00CB1568">
            <w:pPr>
              <w:jc w:val="center"/>
              <w:rPr>
                <w:sz w:val="22"/>
                <w:szCs w:val="22"/>
                <w:lang w:val="en-US"/>
              </w:rPr>
            </w:pPr>
            <w:r w:rsidRPr="00344279">
              <w:rPr>
                <w:sz w:val="22"/>
                <w:szCs w:val="22"/>
                <w:lang w:val="en-US"/>
              </w:rPr>
              <w:t>.86</w:t>
            </w:r>
          </w:p>
        </w:tc>
      </w:tr>
      <w:tr w:rsidR="002A5C55" w:rsidRPr="00344279" w14:paraId="0A3A83D3" w14:textId="77777777" w:rsidTr="00CB1568">
        <w:tc>
          <w:tcPr>
            <w:tcW w:w="4106" w:type="dxa"/>
            <w:tcBorders>
              <w:top w:val="nil"/>
              <w:left w:val="nil"/>
              <w:bottom w:val="nil"/>
              <w:right w:val="nil"/>
            </w:tcBorders>
          </w:tcPr>
          <w:p w14:paraId="71DEA710" w14:textId="78037C05" w:rsidR="002A5C55" w:rsidRPr="00344279" w:rsidRDefault="005B5A84" w:rsidP="00D31598">
            <w:pPr>
              <w:rPr>
                <w:sz w:val="22"/>
                <w:szCs w:val="22"/>
                <w:lang w:val="en-US"/>
              </w:rPr>
            </w:pPr>
            <w:r w:rsidRPr="00344279">
              <w:rPr>
                <w:sz w:val="22"/>
                <w:szCs w:val="22"/>
                <w:lang w:val="en-US"/>
              </w:rPr>
              <w:t>Creatinine</w:t>
            </w:r>
          </w:p>
        </w:tc>
        <w:tc>
          <w:tcPr>
            <w:tcW w:w="1276" w:type="dxa"/>
            <w:tcBorders>
              <w:top w:val="nil"/>
              <w:left w:val="nil"/>
              <w:bottom w:val="nil"/>
              <w:right w:val="nil"/>
            </w:tcBorders>
          </w:tcPr>
          <w:p w14:paraId="05BBFCCA" w14:textId="696A07E8" w:rsidR="002A5C55" w:rsidRPr="00344279" w:rsidRDefault="005B5A84" w:rsidP="00CB1568">
            <w:pPr>
              <w:jc w:val="center"/>
              <w:rPr>
                <w:sz w:val="22"/>
                <w:szCs w:val="22"/>
                <w:lang w:val="en-US"/>
              </w:rPr>
            </w:pPr>
            <w:r w:rsidRPr="00344279">
              <w:rPr>
                <w:sz w:val="22"/>
                <w:szCs w:val="22"/>
                <w:lang w:val="en-US"/>
              </w:rPr>
              <w:t>1.81</w:t>
            </w:r>
          </w:p>
        </w:tc>
        <w:tc>
          <w:tcPr>
            <w:tcW w:w="1134" w:type="dxa"/>
            <w:tcBorders>
              <w:top w:val="nil"/>
              <w:left w:val="nil"/>
              <w:bottom w:val="nil"/>
              <w:right w:val="nil"/>
            </w:tcBorders>
          </w:tcPr>
          <w:p w14:paraId="17DD7B1F" w14:textId="78ACC9CB" w:rsidR="002A5C55" w:rsidRPr="00344279" w:rsidRDefault="005B5A84" w:rsidP="00CB1568">
            <w:pPr>
              <w:jc w:val="center"/>
              <w:rPr>
                <w:sz w:val="22"/>
                <w:szCs w:val="22"/>
                <w:lang w:val="en-US"/>
              </w:rPr>
            </w:pPr>
            <w:r w:rsidRPr="00344279">
              <w:rPr>
                <w:sz w:val="22"/>
                <w:szCs w:val="22"/>
                <w:lang w:val="en-US"/>
              </w:rPr>
              <w:t>1.90</w:t>
            </w:r>
          </w:p>
        </w:tc>
        <w:tc>
          <w:tcPr>
            <w:tcW w:w="992" w:type="dxa"/>
            <w:tcBorders>
              <w:top w:val="nil"/>
              <w:left w:val="nil"/>
              <w:bottom w:val="nil"/>
              <w:right w:val="nil"/>
            </w:tcBorders>
          </w:tcPr>
          <w:p w14:paraId="64CD1260" w14:textId="73BF29A2" w:rsidR="002A5C55" w:rsidRPr="00344279" w:rsidRDefault="00830331" w:rsidP="00CB1568">
            <w:pPr>
              <w:jc w:val="center"/>
              <w:rPr>
                <w:sz w:val="22"/>
                <w:szCs w:val="22"/>
                <w:lang w:val="en-US"/>
              </w:rPr>
            </w:pPr>
            <w:r w:rsidRPr="00344279">
              <w:rPr>
                <w:sz w:val="22"/>
                <w:szCs w:val="22"/>
                <w:lang w:val="en-US"/>
              </w:rPr>
              <w:t>7153</w:t>
            </w:r>
          </w:p>
        </w:tc>
        <w:tc>
          <w:tcPr>
            <w:tcW w:w="1701" w:type="dxa"/>
            <w:tcBorders>
              <w:top w:val="nil"/>
              <w:left w:val="nil"/>
              <w:bottom w:val="nil"/>
              <w:right w:val="nil"/>
            </w:tcBorders>
          </w:tcPr>
          <w:p w14:paraId="26C90E68" w14:textId="3CEF63E3" w:rsidR="002A5C55" w:rsidRPr="00344279" w:rsidRDefault="00830331" w:rsidP="00CB1568">
            <w:pPr>
              <w:jc w:val="center"/>
              <w:rPr>
                <w:sz w:val="22"/>
                <w:szCs w:val="22"/>
                <w:lang w:val="en-US"/>
              </w:rPr>
            </w:pPr>
            <w:r w:rsidRPr="00344279">
              <w:rPr>
                <w:sz w:val="22"/>
                <w:szCs w:val="22"/>
                <w:lang w:val="en-US"/>
              </w:rPr>
              <w:t>.88</w:t>
            </w:r>
          </w:p>
        </w:tc>
      </w:tr>
      <w:tr w:rsidR="005B5A84" w:rsidRPr="00344279" w14:paraId="245A93AF" w14:textId="77777777" w:rsidTr="00CB1568">
        <w:tc>
          <w:tcPr>
            <w:tcW w:w="4106" w:type="dxa"/>
            <w:tcBorders>
              <w:top w:val="nil"/>
              <w:left w:val="nil"/>
              <w:bottom w:val="nil"/>
              <w:right w:val="nil"/>
            </w:tcBorders>
          </w:tcPr>
          <w:p w14:paraId="070641C1" w14:textId="0B9E7A15" w:rsidR="005B5A84" w:rsidRPr="00344279" w:rsidRDefault="005B5A84" w:rsidP="00D31598">
            <w:pPr>
              <w:rPr>
                <w:sz w:val="22"/>
                <w:szCs w:val="22"/>
                <w:lang w:val="en-US"/>
              </w:rPr>
            </w:pPr>
            <w:r w:rsidRPr="00344279">
              <w:rPr>
                <w:sz w:val="22"/>
                <w:szCs w:val="22"/>
                <w:lang w:val="en-US"/>
              </w:rPr>
              <w:t>Urine Output</w:t>
            </w:r>
          </w:p>
        </w:tc>
        <w:tc>
          <w:tcPr>
            <w:tcW w:w="1276" w:type="dxa"/>
            <w:tcBorders>
              <w:top w:val="nil"/>
              <w:left w:val="nil"/>
              <w:bottom w:val="nil"/>
              <w:right w:val="nil"/>
            </w:tcBorders>
          </w:tcPr>
          <w:p w14:paraId="1615467C" w14:textId="1FAFED64" w:rsidR="005B5A84" w:rsidRPr="00344279" w:rsidRDefault="005B5A84" w:rsidP="00CB1568">
            <w:pPr>
              <w:jc w:val="center"/>
              <w:rPr>
                <w:sz w:val="22"/>
                <w:szCs w:val="22"/>
                <w:lang w:val="en-US"/>
              </w:rPr>
            </w:pPr>
            <w:r w:rsidRPr="00344279">
              <w:rPr>
                <w:sz w:val="22"/>
                <w:szCs w:val="22"/>
                <w:lang w:val="en-US"/>
              </w:rPr>
              <w:t>1360.93</w:t>
            </w:r>
          </w:p>
        </w:tc>
        <w:tc>
          <w:tcPr>
            <w:tcW w:w="1134" w:type="dxa"/>
            <w:tcBorders>
              <w:top w:val="nil"/>
              <w:left w:val="nil"/>
              <w:bottom w:val="nil"/>
              <w:right w:val="nil"/>
            </w:tcBorders>
          </w:tcPr>
          <w:p w14:paraId="493DAD75" w14:textId="3F2138A9" w:rsidR="005B5A84" w:rsidRPr="00344279" w:rsidRDefault="005B5A84" w:rsidP="00CB1568">
            <w:pPr>
              <w:jc w:val="center"/>
              <w:rPr>
                <w:sz w:val="22"/>
                <w:szCs w:val="22"/>
                <w:lang w:val="en-US"/>
              </w:rPr>
            </w:pPr>
            <w:r w:rsidRPr="00344279">
              <w:rPr>
                <w:sz w:val="22"/>
                <w:szCs w:val="22"/>
                <w:lang w:val="en-US"/>
              </w:rPr>
              <w:t>1168.65</w:t>
            </w:r>
          </w:p>
        </w:tc>
        <w:tc>
          <w:tcPr>
            <w:tcW w:w="992" w:type="dxa"/>
            <w:tcBorders>
              <w:top w:val="nil"/>
              <w:left w:val="nil"/>
              <w:bottom w:val="nil"/>
              <w:right w:val="nil"/>
            </w:tcBorders>
          </w:tcPr>
          <w:p w14:paraId="5E343400" w14:textId="3CAA9B59" w:rsidR="005B5A84" w:rsidRPr="00344279" w:rsidRDefault="00830331" w:rsidP="00CB1568">
            <w:pPr>
              <w:jc w:val="center"/>
              <w:rPr>
                <w:sz w:val="22"/>
                <w:szCs w:val="22"/>
                <w:lang w:val="en-US"/>
              </w:rPr>
            </w:pPr>
            <w:r w:rsidRPr="00344279">
              <w:rPr>
                <w:sz w:val="22"/>
                <w:szCs w:val="22"/>
                <w:lang w:val="en-US"/>
              </w:rPr>
              <w:t>11502</w:t>
            </w:r>
          </w:p>
        </w:tc>
        <w:tc>
          <w:tcPr>
            <w:tcW w:w="1701" w:type="dxa"/>
            <w:tcBorders>
              <w:top w:val="nil"/>
              <w:left w:val="nil"/>
              <w:bottom w:val="nil"/>
              <w:right w:val="nil"/>
            </w:tcBorders>
          </w:tcPr>
          <w:p w14:paraId="13BBBD51" w14:textId="20389177" w:rsidR="005B5A84" w:rsidRPr="00344279" w:rsidRDefault="00830331" w:rsidP="00CB1568">
            <w:pPr>
              <w:jc w:val="center"/>
              <w:rPr>
                <w:sz w:val="22"/>
                <w:szCs w:val="22"/>
                <w:lang w:val="en-US"/>
              </w:rPr>
            </w:pPr>
            <w:r w:rsidRPr="00344279">
              <w:rPr>
                <w:sz w:val="22"/>
                <w:szCs w:val="22"/>
                <w:lang w:val="en-US"/>
              </w:rPr>
              <w:t>.81</w:t>
            </w:r>
          </w:p>
        </w:tc>
      </w:tr>
    </w:tbl>
    <w:p w14:paraId="274B4CEB" w14:textId="77777777" w:rsidR="00091FBA" w:rsidRPr="00344279" w:rsidRDefault="00091FBA" w:rsidP="00D31598">
      <w:pPr>
        <w:rPr>
          <w:sz w:val="22"/>
          <w:szCs w:val="22"/>
          <w:lang w:val="nl-NL"/>
        </w:rPr>
      </w:pPr>
    </w:p>
    <w:p w14:paraId="08BCDF65" w14:textId="40A7DA20" w:rsidR="000B4C0C" w:rsidRPr="00344279" w:rsidRDefault="00E32835" w:rsidP="00D31598">
      <w:pPr>
        <w:rPr>
          <w:sz w:val="22"/>
          <w:szCs w:val="22"/>
          <w:lang w:val="nl-NL"/>
        </w:rPr>
      </w:pPr>
      <w:r>
        <w:rPr>
          <w:sz w:val="22"/>
          <w:szCs w:val="22"/>
          <w:lang w:val="nl-NL"/>
        </w:rPr>
        <w:t xml:space="preserve">115 </w:t>
      </w:r>
      <w:proofErr w:type="spellStart"/>
      <w:r>
        <w:rPr>
          <w:sz w:val="22"/>
          <w:szCs w:val="22"/>
          <w:lang w:val="nl-NL"/>
        </w:rPr>
        <w:t>patterns</w:t>
      </w:r>
      <w:proofErr w:type="spellEnd"/>
      <w:r>
        <w:rPr>
          <w:sz w:val="22"/>
          <w:szCs w:val="22"/>
          <w:lang w:val="nl-NL"/>
        </w:rPr>
        <w:t xml:space="preserve"> </w:t>
      </w:r>
      <w:proofErr w:type="spellStart"/>
      <w:r>
        <w:rPr>
          <w:sz w:val="22"/>
          <w:szCs w:val="22"/>
          <w:lang w:val="nl-NL"/>
        </w:rPr>
        <w:t>total</w:t>
      </w:r>
      <w:proofErr w:type="spellEnd"/>
    </w:p>
    <w:p w14:paraId="1C2EC5A0" w14:textId="77777777" w:rsidR="00E32835" w:rsidRDefault="00E32835" w:rsidP="00D31598">
      <w:pPr>
        <w:rPr>
          <w:sz w:val="22"/>
          <w:szCs w:val="22"/>
          <w:lang w:val="nl-NL"/>
        </w:rPr>
      </w:pPr>
    </w:p>
    <w:p w14:paraId="2ED6232B" w14:textId="42C90D36" w:rsidR="00933549" w:rsidRPr="007C1B93" w:rsidRDefault="007C1B93" w:rsidP="00D31598">
      <w:pPr>
        <w:rPr>
          <w:lang w:val="en-US"/>
        </w:rPr>
      </w:pPr>
      <w:r w:rsidRPr="007C1B93">
        <w:rPr>
          <w:sz w:val="22"/>
          <w:szCs w:val="22"/>
          <w:lang w:val="en-US"/>
        </w:rPr>
        <w:t>Table […] shows the results of the simulations</w:t>
      </w:r>
      <w:r>
        <w:rPr>
          <w:sz w:val="22"/>
          <w:szCs w:val="22"/>
          <w:lang w:val="en-US"/>
        </w:rPr>
        <w:t xml:space="preserve">. When considering FLR, the RMSE, Brier score, and C-index all indicate that single draw imputation performs the worst of the four methods, and the pattern </w:t>
      </w:r>
      <w:proofErr w:type="spellStart"/>
      <w:r>
        <w:rPr>
          <w:sz w:val="22"/>
          <w:szCs w:val="22"/>
          <w:lang w:val="en-US"/>
        </w:rPr>
        <w:t>submodel</w:t>
      </w:r>
      <w:proofErr w:type="spellEnd"/>
      <w:r>
        <w:rPr>
          <w:sz w:val="22"/>
          <w:szCs w:val="22"/>
          <w:lang w:val="en-US"/>
        </w:rPr>
        <w:t xml:space="preserve"> approach performs best. Regarding random forests, these measures also indicate single draw imputation to have the worst performance, and they indicate pattern </w:t>
      </w:r>
      <w:proofErr w:type="spellStart"/>
      <w:r>
        <w:rPr>
          <w:sz w:val="22"/>
          <w:szCs w:val="22"/>
          <w:lang w:val="en-US"/>
        </w:rPr>
        <w:t>submodels</w:t>
      </w:r>
      <w:proofErr w:type="spellEnd"/>
      <w:r>
        <w:rPr>
          <w:sz w:val="22"/>
          <w:szCs w:val="22"/>
          <w:lang w:val="en-US"/>
        </w:rPr>
        <w:t xml:space="preserve"> and surrogate splits to have a similarly high performance.</w:t>
      </w:r>
    </w:p>
    <w:p w14:paraId="5D3FF290" w14:textId="2B5CD5E9" w:rsidR="00E1566A" w:rsidRPr="007C1B93" w:rsidRDefault="00E1566A">
      <w:pPr>
        <w:rPr>
          <w:rFonts w:ascii="Calibri" w:hAnsi="Calibri" w:cs="Calibri"/>
          <w:lang w:val="en-US"/>
        </w:rPr>
      </w:pPr>
      <w:r w:rsidRPr="007C1B93">
        <w:rPr>
          <w:rFonts w:ascii="Calibri" w:hAnsi="Calibri" w:cs="Calibri"/>
          <w:lang w:val="en-US"/>
        </w:rPr>
        <w:br w:type="page"/>
      </w:r>
    </w:p>
    <w:p w14:paraId="23870DF5" w14:textId="77777777" w:rsidR="00E32835" w:rsidRPr="007C1B93" w:rsidRDefault="00E32835">
      <w:pPr>
        <w:rPr>
          <w:rFonts w:ascii="Calibri" w:hAnsi="Calibri" w:cs="Calibri"/>
          <w:b/>
          <w:bCs/>
          <w:sz w:val="22"/>
          <w:szCs w:val="22"/>
          <w:lang w:val="en-US"/>
        </w:rPr>
      </w:pPr>
    </w:p>
    <w:p w14:paraId="3B8190EC" w14:textId="0682A6A6" w:rsidR="00933549" w:rsidRPr="00933549" w:rsidRDefault="00933549" w:rsidP="00933549">
      <w:pPr>
        <w:pStyle w:val="Caption"/>
        <w:rPr>
          <w:rFonts w:ascii="Calibri" w:hAnsi="Calibri" w:cs="Calibri"/>
          <w:lang w:val="en-GB"/>
        </w:rPr>
      </w:pPr>
      <w:r w:rsidRPr="00933549">
        <w:rPr>
          <w:rFonts w:ascii="Calibri" w:hAnsi="Calibri" w:cs="Calibri"/>
          <w:lang w:val="en-GB"/>
        </w:rPr>
        <w:t>Table</w:t>
      </w:r>
      <w:r w:rsidR="00344279">
        <w:rPr>
          <w:rFonts w:ascii="Calibri" w:hAnsi="Calibri" w:cs="Calibri"/>
          <w:lang w:val="en-GB"/>
        </w:rPr>
        <w:t xml:space="preserve"> […]</w:t>
      </w:r>
      <w:r w:rsidRPr="00933549">
        <w:rPr>
          <w:rFonts w:ascii="Calibri" w:hAnsi="Calibri" w:cs="Calibri"/>
          <w:lang w:val="en-GB"/>
        </w:rPr>
        <w:t xml:space="preserve">. </w:t>
      </w:r>
      <w:r>
        <w:rPr>
          <w:rFonts w:ascii="Calibri" w:hAnsi="Calibri" w:cs="Calibri"/>
          <w:b w:val="0"/>
          <w:bCs w:val="0"/>
          <w:lang w:val="en-GB"/>
        </w:rPr>
        <w:t>Performance of Methods on MIMIC Data.</w:t>
      </w:r>
    </w:p>
    <w:tbl>
      <w:tblPr>
        <w:tblW w:w="9214" w:type="dxa"/>
        <w:tblLayout w:type="fixed"/>
        <w:tblCellMar>
          <w:left w:w="70" w:type="dxa"/>
          <w:right w:w="70" w:type="dxa"/>
        </w:tblCellMar>
        <w:tblLook w:val="04A0" w:firstRow="1" w:lastRow="0" w:firstColumn="1" w:lastColumn="0" w:noHBand="0" w:noVBand="1"/>
      </w:tblPr>
      <w:tblGrid>
        <w:gridCol w:w="1316"/>
        <w:gridCol w:w="1316"/>
        <w:gridCol w:w="1316"/>
        <w:gridCol w:w="1317"/>
        <w:gridCol w:w="1316"/>
        <w:gridCol w:w="1316"/>
        <w:gridCol w:w="1317"/>
      </w:tblGrid>
      <w:tr w:rsidR="00933549" w:rsidRPr="00933549" w14:paraId="3A73E6D2" w14:textId="77777777" w:rsidTr="00BA3F5F">
        <w:trPr>
          <w:trHeight w:val="300"/>
        </w:trPr>
        <w:tc>
          <w:tcPr>
            <w:tcW w:w="1316" w:type="dxa"/>
            <w:tcBorders>
              <w:top w:val="single" w:sz="4" w:space="0" w:color="auto"/>
              <w:left w:val="nil"/>
              <w:bottom w:val="single" w:sz="4" w:space="0" w:color="auto"/>
              <w:right w:val="nil"/>
            </w:tcBorders>
          </w:tcPr>
          <w:p w14:paraId="74A1913C" w14:textId="77777777" w:rsidR="00933549" w:rsidRPr="00933549" w:rsidRDefault="00933549" w:rsidP="00BA3F5F">
            <w:pPr>
              <w:rPr>
                <w:rFonts w:ascii="Calibri" w:eastAsia="Times New Roman" w:hAnsi="Calibri" w:cs="Calibri"/>
                <w:color w:val="000000"/>
                <w:sz w:val="22"/>
                <w:szCs w:val="22"/>
                <w:lang w:eastAsia="nl-NL"/>
              </w:rPr>
            </w:pPr>
          </w:p>
        </w:tc>
        <w:tc>
          <w:tcPr>
            <w:tcW w:w="1316" w:type="dxa"/>
            <w:tcBorders>
              <w:top w:val="single" w:sz="4" w:space="0" w:color="auto"/>
              <w:left w:val="nil"/>
              <w:bottom w:val="single" w:sz="4" w:space="0" w:color="auto"/>
              <w:right w:val="nil"/>
            </w:tcBorders>
            <w:noWrap/>
            <w:vAlign w:val="bottom"/>
            <w:hideMark/>
          </w:tcPr>
          <w:p w14:paraId="754DB363" w14:textId="77777777" w:rsidR="00933549" w:rsidRPr="00933549" w:rsidRDefault="00933549" w:rsidP="00BA3F5F">
            <w:pPr>
              <w:rPr>
                <w:rFonts w:ascii="Calibri" w:eastAsia="Times New Roman" w:hAnsi="Calibri" w:cs="Calibri"/>
                <w:color w:val="000000"/>
                <w:sz w:val="22"/>
                <w:szCs w:val="22"/>
                <w:lang w:eastAsia="nl-NL"/>
              </w:rPr>
            </w:pPr>
          </w:p>
        </w:tc>
        <w:tc>
          <w:tcPr>
            <w:tcW w:w="1316" w:type="dxa"/>
            <w:tcBorders>
              <w:top w:val="single" w:sz="4" w:space="0" w:color="auto"/>
              <w:left w:val="nil"/>
              <w:bottom w:val="single" w:sz="4" w:space="0" w:color="auto"/>
              <w:right w:val="nil"/>
            </w:tcBorders>
            <w:noWrap/>
            <w:vAlign w:val="center"/>
            <w:hideMark/>
          </w:tcPr>
          <w:p w14:paraId="40E7E243"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RMSE</w:t>
            </w:r>
          </w:p>
        </w:tc>
        <w:tc>
          <w:tcPr>
            <w:tcW w:w="1317" w:type="dxa"/>
            <w:tcBorders>
              <w:top w:val="single" w:sz="4" w:space="0" w:color="auto"/>
              <w:left w:val="nil"/>
              <w:bottom w:val="single" w:sz="4" w:space="0" w:color="auto"/>
              <w:right w:val="nil"/>
            </w:tcBorders>
            <w:noWrap/>
            <w:vAlign w:val="center"/>
            <w:hideMark/>
          </w:tcPr>
          <w:p w14:paraId="1AE00394"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Brier</w:t>
            </w:r>
          </w:p>
        </w:tc>
        <w:tc>
          <w:tcPr>
            <w:tcW w:w="1316" w:type="dxa"/>
            <w:tcBorders>
              <w:top w:val="single" w:sz="4" w:space="0" w:color="auto"/>
              <w:left w:val="nil"/>
              <w:bottom w:val="single" w:sz="4" w:space="0" w:color="auto"/>
              <w:right w:val="nil"/>
            </w:tcBorders>
            <w:noWrap/>
            <w:vAlign w:val="center"/>
            <w:hideMark/>
          </w:tcPr>
          <w:p w14:paraId="1EF5F313"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C-index</w:t>
            </w:r>
          </w:p>
        </w:tc>
        <w:tc>
          <w:tcPr>
            <w:tcW w:w="1316" w:type="dxa"/>
            <w:tcBorders>
              <w:top w:val="single" w:sz="4" w:space="0" w:color="auto"/>
              <w:left w:val="nil"/>
              <w:bottom w:val="single" w:sz="4" w:space="0" w:color="auto"/>
              <w:right w:val="nil"/>
            </w:tcBorders>
            <w:noWrap/>
            <w:vAlign w:val="center"/>
            <w:hideMark/>
          </w:tcPr>
          <w:p w14:paraId="5C7ADD1E"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CITL</w:t>
            </w:r>
          </w:p>
        </w:tc>
        <w:tc>
          <w:tcPr>
            <w:tcW w:w="1317" w:type="dxa"/>
            <w:tcBorders>
              <w:top w:val="single" w:sz="4" w:space="0" w:color="auto"/>
              <w:left w:val="nil"/>
              <w:bottom w:val="single" w:sz="4" w:space="0" w:color="auto"/>
              <w:right w:val="nil"/>
            </w:tcBorders>
            <w:noWrap/>
            <w:vAlign w:val="center"/>
            <w:hideMark/>
          </w:tcPr>
          <w:p w14:paraId="7081B118"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Slope</w:t>
            </w:r>
          </w:p>
        </w:tc>
      </w:tr>
      <w:tr w:rsidR="00933549" w:rsidRPr="00933549" w14:paraId="6D63F057" w14:textId="77777777" w:rsidTr="00BA3F5F">
        <w:trPr>
          <w:trHeight w:val="300"/>
        </w:trPr>
        <w:tc>
          <w:tcPr>
            <w:tcW w:w="1316" w:type="dxa"/>
            <w:vMerge w:val="restart"/>
            <w:tcBorders>
              <w:top w:val="single" w:sz="4" w:space="0" w:color="auto"/>
              <w:left w:val="nil"/>
              <w:bottom w:val="single" w:sz="4" w:space="0" w:color="auto"/>
              <w:right w:val="nil"/>
            </w:tcBorders>
            <w:vAlign w:val="center"/>
            <w:hideMark/>
          </w:tcPr>
          <w:p w14:paraId="0B6ADEEF" w14:textId="77777777" w:rsidR="00933549" w:rsidRPr="00933549" w:rsidRDefault="00933549" w:rsidP="00BA3F5F">
            <w:pPr>
              <w:jc w:val="cente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FLR</w:t>
            </w:r>
          </w:p>
        </w:tc>
        <w:tc>
          <w:tcPr>
            <w:tcW w:w="1316" w:type="dxa"/>
            <w:tcBorders>
              <w:top w:val="single" w:sz="4" w:space="0" w:color="auto"/>
              <w:left w:val="nil"/>
              <w:bottom w:val="nil"/>
              <w:right w:val="nil"/>
            </w:tcBorders>
            <w:noWrap/>
            <w:vAlign w:val="bottom"/>
            <w:hideMark/>
          </w:tcPr>
          <w:p w14:paraId="1DF725BB"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JMI-CM</w:t>
            </w:r>
          </w:p>
        </w:tc>
        <w:tc>
          <w:tcPr>
            <w:tcW w:w="1316" w:type="dxa"/>
            <w:tcBorders>
              <w:top w:val="single" w:sz="4" w:space="0" w:color="auto"/>
              <w:left w:val="nil"/>
              <w:bottom w:val="nil"/>
              <w:right w:val="nil"/>
            </w:tcBorders>
            <w:noWrap/>
            <w:vAlign w:val="center"/>
            <w:hideMark/>
          </w:tcPr>
          <w:p w14:paraId="2D6F4589" w14:textId="68FB4B54"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0.308</w:t>
            </w:r>
          </w:p>
        </w:tc>
        <w:tc>
          <w:tcPr>
            <w:tcW w:w="1317" w:type="dxa"/>
            <w:tcBorders>
              <w:top w:val="single" w:sz="4" w:space="0" w:color="auto"/>
              <w:left w:val="nil"/>
              <w:bottom w:val="nil"/>
              <w:right w:val="nil"/>
            </w:tcBorders>
            <w:noWrap/>
            <w:vAlign w:val="center"/>
            <w:hideMark/>
          </w:tcPr>
          <w:p w14:paraId="20CB6101" w14:textId="44335B07"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0.095</w:t>
            </w:r>
          </w:p>
        </w:tc>
        <w:tc>
          <w:tcPr>
            <w:tcW w:w="1316" w:type="dxa"/>
            <w:tcBorders>
              <w:top w:val="single" w:sz="4" w:space="0" w:color="auto"/>
              <w:left w:val="nil"/>
              <w:bottom w:val="nil"/>
              <w:right w:val="nil"/>
            </w:tcBorders>
            <w:noWrap/>
            <w:vAlign w:val="center"/>
            <w:hideMark/>
          </w:tcPr>
          <w:p w14:paraId="35551ABC" w14:textId="2E88769B"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0.803</w:t>
            </w:r>
          </w:p>
        </w:tc>
        <w:tc>
          <w:tcPr>
            <w:tcW w:w="1316" w:type="dxa"/>
            <w:tcBorders>
              <w:top w:val="single" w:sz="4" w:space="0" w:color="auto"/>
              <w:left w:val="nil"/>
              <w:bottom w:val="nil"/>
              <w:right w:val="nil"/>
            </w:tcBorders>
            <w:noWrap/>
            <w:vAlign w:val="center"/>
            <w:hideMark/>
          </w:tcPr>
          <w:p w14:paraId="1CEF810E" w14:textId="2328B816"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0.142</w:t>
            </w:r>
          </w:p>
        </w:tc>
        <w:tc>
          <w:tcPr>
            <w:tcW w:w="1317" w:type="dxa"/>
            <w:tcBorders>
              <w:top w:val="single" w:sz="4" w:space="0" w:color="auto"/>
              <w:left w:val="nil"/>
              <w:bottom w:val="nil"/>
              <w:right w:val="nil"/>
            </w:tcBorders>
            <w:noWrap/>
            <w:vAlign w:val="center"/>
            <w:hideMark/>
          </w:tcPr>
          <w:p w14:paraId="2B36B900" w14:textId="70BEADAC"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0.192</w:t>
            </w:r>
          </w:p>
        </w:tc>
      </w:tr>
      <w:tr w:rsidR="00933549" w:rsidRPr="00933549" w14:paraId="179FEA15" w14:textId="77777777" w:rsidTr="00BA3F5F">
        <w:trPr>
          <w:trHeight w:val="300"/>
        </w:trPr>
        <w:tc>
          <w:tcPr>
            <w:tcW w:w="1316" w:type="dxa"/>
            <w:vMerge/>
            <w:tcBorders>
              <w:top w:val="single" w:sz="4" w:space="0" w:color="auto"/>
              <w:left w:val="nil"/>
              <w:bottom w:val="single" w:sz="4" w:space="0" w:color="auto"/>
              <w:right w:val="nil"/>
            </w:tcBorders>
            <w:vAlign w:val="center"/>
            <w:hideMark/>
          </w:tcPr>
          <w:p w14:paraId="2E08346A" w14:textId="77777777" w:rsidR="00933549" w:rsidRPr="00933549" w:rsidRDefault="00933549" w:rsidP="00BA3F5F">
            <w:pPr>
              <w:spacing w:line="256" w:lineRule="auto"/>
              <w:rPr>
                <w:rFonts w:ascii="Calibri" w:eastAsia="Times New Roman" w:hAnsi="Calibri" w:cs="Calibri"/>
                <w:color w:val="000000"/>
                <w:sz w:val="22"/>
                <w:szCs w:val="22"/>
                <w:lang w:eastAsia="nl-NL"/>
              </w:rPr>
            </w:pPr>
          </w:p>
        </w:tc>
        <w:tc>
          <w:tcPr>
            <w:tcW w:w="1316" w:type="dxa"/>
            <w:noWrap/>
            <w:vAlign w:val="bottom"/>
            <w:hideMark/>
          </w:tcPr>
          <w:p w14:paraId="0BCF9543"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JMI-SD</w:t>
            </w:r>
          </w:p>
        </w:tc>
        <w:tc>
          <w:tcPr>
            <w:tcW w:w="1316" w:type="dxa"/>
            <w:noWrap/>
            <w:vAlign w:val="center"/>
            <w:hideMark/>
          </w:tcPr>
          <w:p w14:paraId="359DDB25" w14:textId="4B4578E7"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0.321</w:t>
            </w:r>
          </w:p>
        </w:tc>
        <w:tc>
          <w:tcPr>
            <w:tcW w:w="1317" w:type="dxa"/>
            <w:noWrap/>
            <w:vAlign w:val="center"/>
            <w:hideMark/>
          </w:tcPr>
          <w:p w14:paraId="03ECEFF0" w14:textId="2B26369E"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0.103</w:t>
            </w:r>
          </w:p>
        </w:tc>
        <w:tc>
          <w:tcPr>
            <w:tcW w:w="1316" w:type="dxa"/>
            <w:noWrap/>
            <w:vAlign w:val="center"/>
            <w:hideMark/>
          </w:tcPr>
          <w:p w14:paraId="33BD8754" w14:textId="0C5984F7"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0.774</w:t>
            </w:r>
          </w:p>
        </w:tc>
        <w:tc>
          <w:tcPr>
            <w:tcW w:w="1316" w:type="dxa"/>
            <w:noWrap/>
            <w:vAlign w:val="center"/>
            <w:hideMark/>
          </w:tcPr>
          <w:p w14:paraId="08FD83C0" w14:textId="5DE6478F"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0.155</w:t>
            </w:r>
          </w:p>
        </w:tc>
        <w:tc>
          <w:tcPr>
            <w:tcW w:w="1317" w:type="dxa"/>
            <w:noWrap/>
            <w:vAlign w:val="center"/>
            <w:hideMark/>
          </w:tcPr>
          <w:p w14:paraId="00B41540" w14:textId="1B8929EB"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0.189</w:t>
            </w:r>
          </w:p>
        </w:tc>
      </w:tr>
      <w:tr w:rsidR="00933549" w:rsidRPr="00933549" w14:paraId="5DA8F87D" w14:textId="77777777" w:rsidTr="00BA3F5F">
        <w:trPr>
          <w:trHeight w:val="300"/>
        </w:trPr>
        <w:tc>
          <w:tcPr>
            <w:tcW w:w="1316" w:type="dxa"/>
            <w:vMerge/>
            <w:tcBorders>
              <w:top w:val="single" w:sz="4" w:space="0" w:color="auto"/>
              <w:left w:val="nil"/>
              <w:bottom w:val="single" w:sz="4" w:space="0" w:color="auto"/>
              <w:right w:val="nil"/>
            </w:tcBorders>
            <w:vAlign w:val="center"/>
            <w:hideMark/>
          </w:tcPr>
          <w:p w14:paraId="6CE3D316" w14:textId="77777777" w:rsidR="00933549" w:rsidRPr="00933549" w:rsidRDefault="00933549" w:rsidP="00BA3F5F">
            <w:pPr>
              <w:spacing w:line="256" w:lineRule="auto"/>
              <w:rPr>
                <w:rFonts w:ascii="Calibri" w:eastAsia="Times New Roman" w:hAnsi="Calibri" w:cs="Calibri"/>
                <w:color w:val="000000"/>
                <w:sz w:val="22"/>
                <w:szCs w:val="22"/>
                <w:lang w:eastAsia="nl-NL"/>
              </w:rPr>
            </w:pPr>
          </w:p>
        </w:tc>
        <w:tc>
          <w:tcPr>
            <w:tcW w:w="1316" w:type="dxa"/>
            <w:noWrap/>
            <w:vAlign w:val="bottom"/>
            <w:hideMark/>
          </w:tcPr>
          <w:p w14:paraId="7B25E5D1"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JMI-MD</w:t>
            </w:r>
          </w:p>
        </w:tc>
        <w:tc>
          <w:tcPr>
            <w:tcW w:w="1316" w:type="dxa"/>
            <w:noWrap/>
            <w:vAlign w:val="center"/>
            <w:hideMark/>
          </w:tcPr>
          <w:p w14:paraId="77EE7E08" w14:textId="428DBFE7"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0.312</w:t>
            </w:r>
          </w:p>
        </w:tc>
        <w:tc>
          <w:tcPr>
            <w:tcW w:w="1317" w:type="dxa"/>
            <w:noWrap/>
            <w:vAlign w:val="center"/>
            <w:hideMark/>
          </w:tcPr>
          <w:p w14:paraId="1365E388" w14:textId="3F0DC05F"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0.098</w:t>
            </w:r>
          </w:p>
        </w:tc>
        <w:tc>
          <w:tcPr>
            <w:tcW w:w="1316" w:type="dxa"/>
            <w:noWrap/>
            <w:vAlign w:val="center"/>
            <w:hideMark/>
          </w:tcPr>
          <w:p w14:paraId="46D69E2A" w14:textId="291DEDB2"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0.791</w:t>
            </w:r>
          </w:p>
        </w:tc>
        <w:tc>
          <w:tcPr>
            <w:tcW w:w="1316" w:type="dxa"/>
            <w:noWrap/>
            <w:vAlign w:val="center"/>
            <w:hideMark/>
          </w:tcPr>
          <w:p w14:paraId="327E8F38" w14:textId="6BF207A1"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0.155</w:t>
            </w:r>
          </w:p>
        </w:tc>
        <w:tc>
          <w:tcPr>
            <w:tcW w:w="1317" w:type="dxa"/>
            <w:noWrap/>
            <w:vAlign w:val="center"/>
            <w:hideMark/>
          </w:tcPr>
          <w:p w14:paraId="3C4928A4" w14:textId="77CD91AD"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0.187</w:t>
            </w:r>
          </w:p>
        </w:tc>
      </w:tr>
      <w:tr w:rsidR="00933549" w:rsidRPr="00933549" w14:paraId="1C605A01" w14:textId="77777777" w:rsidTr="00BA3F5F">
        <w:trPr>
          <w:trHeight w:val="300"/>
        </w:trPr>
        <w:tc>
          <w:tcPr>
            <w:tcW w:w="1316" w:type="dxa"/>
            <w:vMerge/>
            <w:tcBorders>
              <w:top w:val="single" w:sz="4" w:space="0" w:color="auto"/>
              <w:left w:val="nil"/>
              <w:bottom w:val="single" w:sz="4" w:space="0" w:color="auto"/>
              <w:right w:val="nil"/>
            </w:tcBorders>
            <w:vAlign w:val="center"/>
            <w:hideMark/>
          </w:tcPr>
          <w:p w14:paraId="3651B63E" w14:textId="77777777" w:rsidR="00933549" w:rsidRPr="00933549" w:rsidRDefault="00933549" w:rsidP="00BA3F5F">
            <w:pPr>
              <w:spacing w:line="256" w:lineRule="auto"/>
              <w:rPr>
                <w:rFonts w:ascii="Calibri" w:eastAsia="Times New Roman" w:hAnsi="Calibri" w:cs="Calibri"/>
                <w:color w:val="000000"/>
                <w:sz w:val="22"/>
                <w:szCs w:val="22"/>
                <w:lang w:eastAsia="nl-NL"/>
              </w:rPr>
            </w:pPr>
          </w:p>
        </w:tc>
        <w:tc>
          <w:tcPr>
            <w:tcW w:w="1316" w:type="dxa"/>
            <w:tcBorders>
              <w:top w:val="nil"/>
              <w:left w:val="nil"/>
              <w:bottom w:val="single" w:sz="4" w:space="0" w:color="auto"/>
              <w:right w:val="nil"/>
            </w:tcBorders>
            <w:noWrap/>
            <w:vAlign w:val="bottom"/>
            <w:hideMark/>
          </w:tcPr>
          <w:p w14:paraId="77C93266"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PS</w:t>
            </w:r>
          </w:p>
        </w:tc>
        <w:tc>
          <w:tcPr>
            <w:tcW w:w="1316" w:type="dxa"/>
            <w:tcBorders>
              <w:top w:val="nil"/>
              <w:left w:val="nil"/>
              <w:bottom w:val="single" w:sz="4" w:space="0" w:color="auto"/>
              <w:right w:val="nil"/>
            </w:tcBorders>
            <w:noWrap/>
            <w:vAlign w:val="center"/>
            <w:hideMark/>
          </w:tcPr>
          <w:p w14:paraId="7C9F7700" w14:textId="599A42BF"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0.300</w:t>
            </w:r>
          </w:p>
        </w:tc>
        <w:tc>
          <w:tcPr>
            <w:tcW w:w="1317" w:type="dxa"/>
            <w:tcBorders>
              <w:top w:val="nil"/>
              <w:left w:val="nil"/>
              <w:bottom w:val="single" w:sz="4" w:space="0" w:color="auto"/>
              <w:right w:val="nil"/>
            </w:tcBorders>
            <w:noWrap/>
            <w:vAlign w:val="center"/>
            <w:hideMark/>
          </w:tcPr>
          <w:p w14:paraId="0CA53643" w14:textId="208B99F8"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0.090</w:t>
            </w:r>
          </w:p>
        </w:tc>
        <w:tc>
          <w:tcPr>
            <w:tcW w:w="1316" w:type="dxa"/>
            <w:tcBorders>
              <w:top w:val="nil"/>
              <w:left w:val="nil"/>
              <w:bottom w:val="single" w:sz="4" w:space="0" w:color="auto"/>
              <w:right w:val="nil"/>
            </w:tcBorders>
            <w:noWrap/>
            <w:vAlign w:val="center"/>
            <w:hideMark/>
          </w:tcPr>
          <w:p w14:paraId="391F542C" w14:textId="442C225E"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0.826</w:t>
            </w:r>
          </w:p>
        </w:tc>
        <w:tc>
          <w:tcPr>
            <w:tcW w:w="1316" w:type="dxa"/>
            <w:tcBorders>
              <w:top w:val="nil"/>
              <w:left w:val="nil"/>
              <w:bottom w:val="single" w:sz="4" w:space="0" w:color="auto"/>
              <w:right w:val="nil"/>
            </w:tcBorders>
            <w:noWrap/>
            <w:vAlign w:val="center"/>
            <w:hideMark/>
          </w:tcPr>
          <w:p w14:paraId="01ECFFCB" w14:textId="33CD6998"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0.102</w:t>
            </w:r>
          </w:p>
        </w:tc>
        <w:tc>
          <w:tcPr>
            <w:tcW w:w="1317" w:type="dxa"/>
            <w:tcBorders>
              <w:top w:val="nil"/>
              <w:left w:val="nil"/>
              <w:bottom w:val="single" w:sz="4" w:space="0" w:color="auto"/>
              <w:right w:val="nil"/>
            </w:tcBorders>
            <w:noWrap/>
            <w:vAlign w:val="center"/>
            <w:hideMark/>
          </w:tcPr>
          <w:p w14:paraId="7C1DC01F" w14:textId="5BD3C688"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0.210</w:t>
            </w:r>
          </w:p>
        </w:tc>
      </w:tr>
      <w:tr w:rsidR="00933549" w:rsidRPr="00933549" w14:paraId="0AFCB184" w14:textId="77777777" w:rsidTr="00BA3F5F">
        <w:trPr>
          <w:trHeight w:val="300"/>
        </w:trPr>
        <w:tc>
          <w:tcPr>
            <w:tcW w:w="1316" w:type="dxa"/>
            <w:vMerge w:val="restart"/>
            <w:tcBorders>
              <w:top w:val="single" w:sz="4" w:space="0" w:color="auto"/>
              <w:left w:val="nil"/>
              <w:bottom w:val="single" w:sz="4" w:space="0" w:color="auto"/>
              <w:right w:val="nil"/>
            </w:tcBorders>
            <w:vAlign w:val="center"/>
            <w:hideMark/>
          </w:tcPr>
          <w:p w14:paraId="3769A2C5" w14:textId="77777777" w:rsidR="00933549" w:rsidRPr="00933549" w:rsidRDefault="00933549" w:rsidP="00BA3F5F">
            <w:pPr>
              <w:jc w:val="cente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RF</w:t>
            </w:r>
          </w:p>
        </w:tc>
        <w:tc>
          <w:tcPr>
            <w:tcW w:w="1316" w:type="dxa"/>
            <w:tcBorders>
              <w:top w:val="single" w:sz="4" w:space="0" w:color="auto"/>
              <w:left w:val="nil"/>
              <w:bottom w:val="nil"/>
              <w:right w:val="nil"/>
            </w:tcBorders>
            <w:noWrap/>
            <w:vAlign w:val="bottom"/>
            <w:hideMark/>
          </w:tcPr>
          <w:p w14:paraId="6A962134"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JMI-CM</w:t>
            </w:r>
          </w:p>
        </w:tc>
        <w:tc>
          <w:tcPr>
            <w:tcW w:w="1316" w:type="dxa"/>
            <w:tcBorders>
              <w:top w:val="single" w:sz="4" w:space="0" w:color="auto"/>
              <w:left w:val="nil"/>
              <w:bottom w:val="nil"/>
              <w:right w:val="nil"/>
            </w:tcBorders>
            <w:noWrap/>
            <w:vAlign w:val="center"/>
            <w:hideMark/>
          </w:tcPr>
          <w:p w14:paraId="1C84A63A" w14:textId="5F7D931A"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0.302</w:t>
            </w:r>
          </w:p>
        </w:tc>
        <w:tc>
          <w:tcPr>
            <w:tcW w:w="1317" w:type="dxa"/>
            <w:tcBorders>
              <w:top w:val="single" w:sz="4" w:space="0" w:color="auto"/>
              <w:left w:val="nil"/>
              <w:bottom w:val="nil"/>
              <w:right w:val="nil"/>
            </w:tcBorders>
            <w:noWrap/>
            <w:vAlign w:val="center"/>
            <w:hideMark/>
          </w:tcPr>
          <w:p w14:paraId="27E9CCD9" w14:textId="1F112A0F"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0.091</w:t>
            </w:r>
          </w:p>
        </w:tc>
        <w:tc>
          <w:tcPr>
            <w:tcW w:w="1316" w:type="dxa"/>
            <w:tcBorders>
              <w:top w:val="single" w:sz="4" w:space="0" w:color="auto"/>
              <w:left w:val="nil"/>
              <w:bottom w:val="nil"/>
              <w:right w:val="nil"/>
            </w:tcBorders>
            <w:noWrap/>
            <w:vAlign w:val="center"/>
            <w:hideMark/>
          </w:tcPr>
          <w:p w14:paraId="4F646923" w14:textId="0E2A8762"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0.837</w:t>
            </w:r>
          </w:p>
        </w:tc>
        <w:tc>
          <w:tcPr>
            <w:tcW w:w="1316" w:type="dxa"/>
            <w:tcBorders>
              <w:top w:val="single" w:sz="4" w:space="0" w:color="auto"/>
              <w:left w:val="nil"/>
              <w:bottom w:val="nil"/>
              <w:right w:val="nil"/>
            </w:tcBorders>
            <w:noWrap/>
            <w:vAlign w:val="center"/>
            <w:hideMark/>
          </w:tcPr>
          <w:p w14:paraId="5A22486B" w14:textId="42C52157"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0.151</w:t>
            </w:r>
          </w:p>
        </w:tc>
        <w:tc>
          <w:tcPr>
            <w:tcW w:w="1317" w:type="dxa"/>
            <w:tcBorders>
              <w:top w:val="single" w:sz="4" w:space="0" w:color="auto"/>
              <w:left w:val="nil"/>
              <w:bottom w:val="nil"/>
              <w:right w:val="nil"/>
            </w:tcBorders>
            <w:noWrap/>
            <w:vAlign w:val="center"/>
            <w:hideMark/>
          </w:tcPr>
          <w:p w14:paraId="70410F81" w14:textId="52BC5497"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0.278</w:t>
            </w:r>
          </w:p>
        </w:tc>
      </w:tr>
      <w:tr w:rsidR="00933549" w:rsidRPr="00933549" w14:paraId="2DA117E4" w14:textId="77777777" w:rsidTr="00BA3F5F">
        <w:trPr>
          <w:trHeight w:val="300"/>
        </w:trPr>
        <w:tc>
          <w:tcPr>
            <w:tcW w:w="1316" w:type="dxa"/>
            <w:vMerge/>
            <w:tcBorders>
              <w:top w:val="single" w:sz="4" w:space="0" w:color="auto"/>
              <w:left w:val="nil"/>
              <w:bottom w:val="single" w:sz="4" w:space="0" w:color="auto"/>
              <w:right w:val="nil"/>
            </w:tcBorders>
            <w:vAlign w:val="center"/>
            <w:hideMark/>
          </w:tcPr>
          <w:p w14:paraId="1B32CCED" w14:textId="77777777" w:rsidR="00933549" w:rsidRPr="00933549" w:rsidRDefault="00933549" w:rsidP="00BA3F5F">
            <w:pPr>
              <w:spacing w:line="256" w:lineRule="auto"/>
              <w:rPr>
                <w:rFonts w:ascii="Calibri" w:eastAsia="Times New Roman" w:hAnsi="Calibri" w:cs="Calibri"/>
                <w:color w:val="000000"/>
                <w:sz w:val="22"/>
                <w:szCs w:val="22"/>
                <w:lang w:eastAsia="nl-NL"/>
              </w:rPr>
            </w:pPr>
          </w:p>
        </w:tc>
        <w:tc>
          <w:tcPr>
            <w:tcW w:w="1316" w:type="dxa"/>
            <w:noWrap/>
            <w:vAlign w:val="bottom"/>
            <w:hideMark/>
          </w:tcPr>
          <w:p w14:paraId="06EC6DE1"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JMI-SD</w:t>
            </w:r>
          </w:p>
        </w:tc>
        <w:tc>
          <w:tcPr>
            <w:tcW w:w="1316" w:type="dxa"/>
            <w:noWrap/>
            <w:vAlign w:val="center"/>
            <w:hideMark/>
          </w:tcPr>
          <w:p w14:paraId="373FF2AF" w14:textId="4E7DE3C0"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0.313</w:t>
            </w:r>
          </w:p>
        </w:tc>
        <w:tc>
          <w:tcPr>
            <w:tcW w:w="1317" w:type="dxa"/>
            <w:noWrap/>
            <w:vAlign w:val="center"/>
            <w:hideMark/>
          </w:tcPr>
          <w:p w14:paraId="2B4DE1EB" w14:textId="59B3B592"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0.098</w:t>
            </w:r>
          </w:p>
        </w:tc>
        <w:tc>
          <w:tcPr>
            <w:tcW w:w="1316" w:type="dxa"/>
            <w:noWrap/>
            <w:vAlign w:val="center"/>
            <w:hideMark/>
          </w:tcPr>
          <w:p w14:paraId="65E0ACA4" w14:textId="2C3EB0D6"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0.825</w:t>
            </w:r>
          </w:p>
        </w:tc>
        <w:tc>
          <w:tcPr>
            <w:tcW w:w="1316" w:type="dxa"/>
            <w:noWrap/>
            <w:vAlign w:val="center"/>
            <w:hideMark/>
          </w:tcPr>
          <w:p w14:paraId="774BF939" w14:textId="454299CF"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0.183</w:t>
            </w:r>
          </w:p>
        </w:tc>
        <w:tc>
          <w:tcPr>
            <w:tcW w:w="1317" w:type="dxa"/>
            <w:noWrap/>
            <w:vAlign w:val="center"/>
            <w:hideMark/>
          </w:tcPr>
          <w:p w14:paraId="38A50442" w14:textId="3BF1288D"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0.254</w:t>
            </w:r>
          </w:p>
        </w:tc>
      </w:tr>
      <w:tr w:rsidR="00933549" w:rsidRPr="00933549" w14:paraId="574716F7" w14:textId="77777777" w:rsidTr="00BA3F5F">
        <w:trPr>
          <w:trHeight w:val="300"/>
        </w:trPr>
        <w:tc>
          <w:tcPr>
            <w:tcW w:w="1316" w:type="dxa"/>
            <w:vMerge/>
            <w:tcBorders>
              <w:top w:val="single" w:sz="4" w:space="0" w:color="auto"/>
              <w:left w:val="nil"/>
              <w:bottom w:val="single" w:sz="4" w:space="0" w:color="auto"/>
              <w:right w:val="nil"/>
            </w:tcBorders>
            <w:vAlign w:val="center"/>
            <w:hideMark/>
          </w:tcPr>
          <w:p w14:paraId="181E5D59" w14:textId="77777777" w:rsidR="00933549" w:rsidRPr="00933549" w:rsidRDefault="00933549" w:rsidP="00BA3F5F">
            <w:pPr>
              <w:spacing w:line="256" w:lineRule="auto"/>
              <w:rPr>
                <w:rFonts w:ascii="Calibri" w:eastAsia="Times New Roman" w:hAnsi="Calibri" w:cs="Calibri"/>
                <w:color w:val="000000"/>
                <w:sz w:val="22"/>
                <w:szCs w:val="22"/>
                <w:lang w:eastAsia="nl-NL"/>
              </w:rPr>
            </w:pPr>
          </w:p>
        </w:tc>
        <w:tc>
          <w:tcPr>
            <w:tcW w:w="1316" w:type="dxa"/>
            <w:noWrap/>
            <w:vAlign w:val="bottom"/>
            <w:hideMark/>
          </w:tcPr>
          <w:p w14:paraId="5FEFD8CD"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JMI-MD</w:t>
            </w:r>
          </w:p>
        </w:tc>
        <w:tc>
          <w:tcPr>
            <w:tcW w:w="1316" w:type="dxa"/>
            <w:noWrap/>
            <w:vAlign w:val="center"/>
            <w:hideMark/>
          </w:tcPr>
          <w:p w14:paraId="0F5D1687" w14:textId="427C6D48"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0.309</w:t>
            </w:r>
          </w:p>
        </w:tc>
        <w:tc>
          <w:tcPr>
            <w:tcW w:w="1317" w:type="dxa"/>
            <w:noWrap/>
            <w:vAlign w:val="center"/>
            <w:hideMark/>
          </w:tcPr>
          <w:p w14:paraId="0135FBA9" w14:textId="77A3C454"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0.095</w:t>
            </w:r>
          </w:p>
        </w:tc>
        <w:tc>
          <w:tcPr>
            <w:tcW w:w="1316" w:type="dxa"/>
            <w:noWrap/>
            <w:vAlign w:val="center"/>
            <w:hideMark/>
          </w:tcPr>
          <w:p w14:paraId="0F0421DE" w14:textId="5DAB74F5"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0.830</w:t>
            </w:r>
          </w:p>
        </w:tc>
        <w:tc>
          <w:tcPr>
            <w:tcW w:w="1316" w:type="dxa"/>
            <w:noWrap/>
            <w:vAlign w:val="center"/>
            <w:hideMark/>
          </w:tcPr>
          <w:p w14:paraId="2C940037" w14:textId="6FEBE7BF"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0.184</w:t>
            </w:r>
          </w:p>
        </w:tc>
        <w:tc>
          <w:tcPr>
            <w:tcW w:w="1317" w:type="dxa"/>
            <w:noWrap/>
            <w:vAlign w:val="center"/>
            <w:hideMark/>
          </w:tcPr>
          <w:p w14:paraId="44D916A8" w14:textId="64F6F161"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0.255</w:t>
            </w:r>
          </w:p>
        </w:tc>
      </w:tr>
      <w:tr w:rsidR="00933549" w:rsidRPr="00933549" w14:paraId="51829B4F" w14:textId="77777777" w:rsidTr="00BA3F5F">
        <w:trPr>
          <w:trHeight w:val="300"/>
        </w:trPr>
        <w:tc>
          <w:tcPr>
            <w:tcW w:w="1316" w:type="dxa"/>
            <w:vMerge/>
            <w:tcBorders>
              <w:top w:val="single" w:sz="4" w:space="0" w:color="auto"/>
              <w:left w:val="nil"/>
              <w:bottom w:val="single" w:sz="4" w:space="0" w:color="auto"/>
              <w:right w:val="nil"/>
            </w:tcBorders>
            <w:vAlign w:val="center"/>
            <w:hideMark/>
          </w:tcPr>
          <w:p w14:paraId="5D48E17D" w14:textId="77777777" w:rsidR="00933549" w:rsidRPr="00933549" w:rsidRDefault="00933549" w:rsidP="00BA3F5F">
            <w:pPr>
              <w:spacing w:line="256" w:lineRule="auto"/>
              <w:rPr>
                <w:rFonts w:ascii="Calibri" w:eastAsia="Times New Roman" w:hAnsi="Calibri" w:cs="Calibri"/>
                <w:color w:val="000000"/>
                <w:sz w:val="22"/>
                <w:szCs w:val="22"/>
                <w:lang w:eastAsia="nl-NL"/>
              </w:rPr>
            </w:pPr>
          </w:p>
        </w:tc>
        <w:tc>
          <w:tcPr>
            <w:tcW w:w="1316" w:type="dxa"/>
            <w:noWrap/>
            <w:vAlign w:val="bottom"/>
            <w:hideMark/>
          </w:tcPr>
          <w:p w14:paraId="4FFF577E"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PS</w:t>
            </w:r>
          </w:p>
        </w:tc>
        <w:tc>
          <w:tcPr>
            <w:tcW w:w="1316" w:type="dxa"/>
            <w:noWrap/>
            <w:vAlign w:val="center"/>
            <w:hideMark/>
          </w:tcPr>
          <w:p w14:paraId="11CC69DF" w14:textId="6D07DF53"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0.286</w:t>
            </w:r>
          </w:p>
        </w:tc>
        <w:tc>
          <w:tcPr>
            <w:tcW w:w="1317" w:type="dxa"/>
            <w:noWrap/>
            <w:vAlign w:val="center"/>
            <w:hideMark/>
          </w:tcPr>
          <w:p w14:paraId="6A065578" w14:textId="1A26094F"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0.082</w:t>
            </w:r>
          </w:p>
        </w:tc>
        <w:tc>
          <w:tcPr>
            <w:tcW w:w="1316" w:type="dxa"/>
            <w:noWrap/>
            <w:vAlign w:val="center"/>
            <w:hideMark/>
          </w:tcPr>
          <w:p w14:paraId="1009C50C" w14:textId="5935C2C6"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0.862</w:t>
            </w:r>
          </w:p>
        </w:tc>
        <w:tc>
          <w:tcPr>
            <w:tcW w:w="1316" w:type="dxa"/>
            <w:noWrap/>
            <w:vAlign w:val="center"/>
            <w:hideMark/>
          </w:tcPr>
          <w:p w14:paraId="61D918C7" w14:textId="01405A73"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0.096</w:t>
            </w:r>
          </w:p>
        </w:tc>
        <w:tc>
          <w:tcPr>
            <w:tcW w:w="1317" w:type="dxa"/>
            <w:noWrap/>
            <w:vAlign w:val="center"/>
            <w:hideMark/>
          </w:tcPr>
          <w:p w14:paraId="609865B4" w14:textId="50B30C6D"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0.290</w:t>
            </w:r>
          </w:p>
        </w:tc>
      </w:tr>
      <w:tr w:rsidR="00933549" w:rsidRPr="00933549" w14:paraId="3DF92F43" w14:textId="77777777" w:rsidTr="00BA3F5F">
        <w:trPr>
          <w:trHeight w:val="300"/>
        </w:trPr>
        <w:tc>
          <w:tcPr>
            <w:tcW w:w="1316" w:type="dxa"/>
            <w:vMerge/>
            <w:tcBorders>
              <w:top w:val="single" w:sz="4" w:space="0" w:color="auto"/>
              <w:left w:val="nil"/>
              <w:bottom w:val="single" w:sz="4" w:space="0" w:color="auto"/>
              <w:right w:val="nil"/>
            </w:tcBorders>
            <w:vAlign w:val="center"/>
            <w:hideMark/>
          </w:tcPr>
          <w:p w14:paraId="1A8CF547" w14:textId="77777777" w:rsidR="00933549" w:rsidRPr="00933549" w:rsidRDefault="00933549" w:rsidP="00BA3F5F">
            <w:pPr>
              <w:spacing w:line="256" w:lineRule="auto"/>
              <w:rPr>
                <w:rFonts w:ascii="Calibri" w:eastAsia="Times New Roman" w:hAnsi="Calibri" w:cs="Calibri"/>
                <w:color w:val="000000"/>
                <w:sz w:val="22"/>
                <w:szCs w:val="22"/>
                <w:lang w:eastAsia="nl-NL"/>
              </w:rPr>
            </w:pPr>
          </w:p>
        </w:tc>
        <w:tc>
          <w:tcPr>
            <w:tcW w:w="1316" w:type="dxa"/>
            <w:tcBorders>
              <w:top w:val="nil"/>
              <w:left w:val="nil"/>
              <w:bottom w:val="single" w:sz="4" w:space="0" w:color="auto"/>
              <w:right w:val="nil"/>
            </w:tcBorders>
            <w:noWrap/>
            <w:vAlign w:val="bottom"/>
            <w:hideMark/>
          </w:tcPr>
          <w:p w14:paraId="2CAA5486"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SS</w:t>
            </w:r>
          </w:p>
        </w:tc>
        <w:tc>
          <w:tcPr>
            <w:tcW w:w="1316" w:type="dxa"/>
            <w:tcBorders>
              <w:top w:val="nil"/>
              <w:left w:val="nil"/>
              <w:bottom w:val="single" w:sz="4" w:space="0" w:color="auto"/>
              <w:right w:val="nil"/>
            </w:tcBorders>
            <w:noWrap/>
            <w:vAlign w:val="center"/>
            <w:hideMark/>
          </w:tcPr>
          <w:p w14:paraId="1D796735" w14:textId="162BE593"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0.287</w:t>
            </w:r>
          </w:p>
        </w:tc>
        <w:tc>
          <w:tcPr>
            <w:tcW w:w="1317" w:type="dxa"/>
            <w:tcBorders>
              <w:top w:val="nil"/>
              <w:left w:val="nil"/>
              <w:bottom w:val="single" w:sz="4" w:space="0" w:color="auto"/>
              <w:right w:val="nil"/>
            </w:tcBorders>
            <w:noWrap/>
            <w:vAlign w:val="center"/>
            <w:hideMark/>
          </w:tcPr>
          <w:p w14:paraId="55791D84" w14:textId="140DA8F5"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0.082</w:t>
            </w:r>
          </w:p>
        </w:tc>
        <w:tc>
          <w:tcPr>
            <w:tcW w:w="1316" w:type="dxa"/>
            <w:tcBorders>
              <w:top w:val="nil"/>
              <w:left w:val="nil"/>
              <w:bottom w:val="single" w:sz="4" w:space="0" w:color="auto"/>
              <w:right w:val="nil"/>
            </w:tcBorders>
            <w:noWrap/>
            <w:vAlign w:val="center"/>
            <w:hideMark/>
          </w:tcPr>
          <w:p w14:paraId="226E32D0" w14:textId="51A6F285"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0.865</w:t>
            </w:r>
          </w:p>
        </w:tc>
        <w:tc>
          <w:tcPr>
            <w:tcW w:w="1316" w:type="dxa"/>
            <w:tcBorders>
              <w:top w:val="nil"/>
              <w:left w:val="nil"/>
              <w:bottom w:val="single" w:sz="4" w:space="0" w:color="auto"/>
              <w:right w:val="nil"/>
            </w:tcBorders>
            <w:noWrap/>
            <w:vAlign w:val="center"/>
            <w:hideMark/>
          </w:tcPr>
          <w:p w14:paraId="78A01194" w14:textId="42DD7F9F"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0.093</w:t>
            </w:r>
          </w:p>
        </w:tc>
        <w:tc>
          <w:tcPr>
            <w:tcW w:w="1317" w:type="dxa"/>
            <w:tcBorders>
              <w:top w:val="nil"/>
              <w:left w:val="nil"/>
              <w:bottom w:val="single" w:sz="4" w:space="0" w:color="auto"/>
              <w:right w:val="nil"/>
            </w:tcBorders>
            <w:noWrap/>
            <w:vAlign w:val="center"/>
            <w:hideMark/>
          </w:tcPr>
          <w:p w14:paraId="2FCF4790" w14:textId="1D086153"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0.270</w:t>
            </w:r>
          </w:p>
        </w:tc>
      </w:tr>
    </w:tbl>
    <w:p w14:paraId="1B96EFEA" w14:textId="6FB1136D" w:rsidR="00933549" w:rsidRPr="00933549" w:rsidRDefault="00933549" w:rsidP="00933549">
      <w:pPr>
        <w:pStyle w:val="Subtitle"/>
        <w:rPr>
          <w:rFonts w:ascii="Calibri" w:hAnsi="Calibri" w:cs="Calibri"/>
          <w:lang w:eastAsia="en-GB"/>
        </w:rPr>
      </w:pPr>
      <w:r w:rsidRPr="00933549">
        <w:rPr>
          <w:rFonts w:ascii="Calibri" w:hAnsi="Calibri" w:cs="Calibri"/>
          <w:sz w:val="22"/>
          <w:szCs w:val="22"/>
        </w:rPr>
        <w:br/>
      </w:r>
      <w:r w:rsidRPr="00933549">
        <w:rPr>
          <w:rFonts w:ascii="Calibri" w:hAnsi="Calibri" w:cs="Calibri"/>
        </w:rPr>
        <w:t>Legend – RMSE: root mean squared error;</w:t>
      </w:r>
      <w:r w:rsidRPr="00933549">
        <w:rPr>
          <w:rFonts w:ascii="Calibri" w:hAnsi="Calibri" w:cs="Calibri"/>
          <w:lang w:eastAsia="en-GB"/>
        </w:rPr>
        <w:t xml:space="preserve"> C-index: concordance-index; CITL: calibration-in-the-large; FLR: flexible logistic regression; RF: random forest; JMI-CM: conditional mean imputation; JMI-SD: single draw imputation; JMI-MD: multiple draw imputation; PS: pattern </w:t>
      </w:r>
      <w:proofErr w:type="spellStart"/>
      <w:r w:rsidRPr="00933549">
        <w:rPr>
          <w:rFonts w:ascii="Calibri" w:hAnsi="Calibri" w:cs="Calibri"/>
          <w:lang w:eastAsia="en-GB"/>
        </w:rPr>
        <w:t>submodels</w:t>
      </w:r>
      <w:proofErr w:type="spellEnd"/>
      <w:r w:rsidRPr="00933549">
        <w:rPr>
          <w:rFonts w:ascii="Calibri" w:hAnsi="Calibri" w:cs="Calibri"/>
          <w:lang w:eastAsia="en-GB"/>
        </w:rPr>
        <w:t>; SS: surrogate splits.</w:t>
      </w:r>
    </w:p>
    <w:p w14:paraId="078B3279" w14:textId="0FD56ACA" w:rsidR="00933549" w:rsidRPr="00101E4D" w:rsidRDefault="00E1566A" w:rsidP="00D31598">
      <w:pPr>
        <w:rPr>
          <w:b/>
          <w:bCs/>
          <w:sz w:val="22"/>
          <w:szCs w:val="22"/>
          <w:lang w:val="en-US"/>
        </w:rPr>
      </w:pPr>
      <w:r w:rsidRPr="00101E4D">
        <w:rPr>
          <w:b/>
          <w:bCs/>
          <w:sz w:val="22"/>
          <w:szCs w:val="22"/>
          <w:lang w:val="en-US"/>
        </w:rPr>
        <w:t>References</w:t>
      </w:r>
    </w:p>
    <w:p w14:paraId="5ECAF5BE" w14:textId="7B6E0193" w:rsidR="00E1566A" w:rsidRDefault="00E1566A" w:rsidP="00101E4D">
      <w:pPr>
        <w:rPr>
          <w:rStyle w:val="Hyperlink"/>
          <w:rFonts w:cstheme="minorHAnsi"/>
          <w:color w:val="006699"/>
          <w:sz w:val="22"/>
          <w:szCs w:val="22"/>
        </w:rPr>
      </w:pPr>
      <w:r w:rsidRPr="00E1566A">
        <w:rPr>
          <w:sz w:val="22"/>
          <w:szCs w:val="22"/>
          <w:lang w:val="en-US"/>
        </w:rPr>
        <w:t>Pollard, T.J., &amp; Johnson, A</w:t>
      </w:r>
      <w:r>
        <w:rPr>
          <w:sz w:val="22"/>
          <w:szCs w:val="22"/>
          <w:lang w:val="en-US"/>
        </w:rPr>
        <w:t>.</w:t>
      </w:r>
      <w:r w:rsidRPr="00101E4D">
        <w:rPr>
          <w:rFonts w:cstheme="minorHAnsi"/>
          <w:sz w:val="22"/>
          <w:szCs w:val="22"/>
          <w:lang w:val="en-US"/>
        </w:rPr>
        <w:t xml:space="preserve">E.W. </w:t>
      </w:r>
      <w:r w:rsidRPr="00101E4D">
        <w:rPr>
          <w:rFonts w:cstheme="minorHAnsi"/>
          <w:i/>
          <w:iCs/>
          <w:color w:val="222222"/>
          <w:sz w:val="22"/>
          <w:szCs w:val="22"/>
        </w:rPr>
        <w:t>The MIMIC-III Clinical Database</w:t>
      </w:r>
      <w:r w:rsidRPr="00101E4D">
        <w:rPr>
          <w:rStyle w:val="apple-converted-space"/>
          <w:rFonts w:cstheme="minorHAnsi"/>
          <w:color w:val="222222"/>
          <w:sz w:val="22"/>
          <w:szCs w:val="22"/>
        </w:rPr>
        <w:t> </w:t>
      </w:r>
      <w:r w:rsidRPr="00101E4D">
        <w:rPr>
          <w:rFonts w:cstheme="minorHAnsi"/>
          <w:color w:val="222222"/>
          <w:sz w:val="22"/>
          <w:szCs w:val="22"/>
        </w:rPr>
        <w:t>(2016)</w:t>
      </w:r>
      <w:r w:rsidRPr="00101E4D">
        <w:rPr>
          <w:rStyle w:val="apple-converted-space"/>
          <w:rFonts w:cstheme="minorHAnsi"/>
          <w:color w:val="222222"/>
          <w:sz w:val="22"/>
          <w:szCs w:val="22"/>
        </w:rPr>
        <w:t> </w:t>
      </w:r>
      <w:hyperlink r:id="rId5" w:history="1">
        <w:r w:rsidRPr="00101E4D">
          <w:rPr>
            <w:rStyle w:val="Hyperlink"/>
            <w:rFonts w:cstheme="minorHAnsi"/>
            <w:color w:val="006699"/>
            <w:sz w:val="22"/>
            <w:szCs w:val="22"/>
          </w:rPr>
          <w:t>http://dx.doi.org/10.13026/C2XW26</w:t>
        </w:r>
      </w:hyperlink>
    </w:p>
    <w:p w14:paraId="778FA786" w14:textId="77777777" w:rsidR="00101E4D" w:rsidRPr="00101E4D" w:rsidRDefault="00101E4D" w:rsidP="00101E4D">
      <w:pPr>
        <w:rPr>
          <w:rFonts w:cstheme="minorHAnsi"/>
          <w:sz w:val="22"/>
          <w:szCs w:val="22"/>
          <w:lang w:val="en-US"/>
        </w:rPr>
      </w:pPr>
    </w:p>
    <w:p w14:paraId="6E71F256" w14:textId="77777777" w:rsidR="00E1566A" w:rsidRPr="00101E4D" w:rsidRDefault="00E1566A" w:rsidP="00D31598">
      <w:pPr>
        <w:rPr>
          <w:rFonts w:cstheme="minorHAnsi"/>
          <w:b/>
          <w:bCs/>
          <w:sz w:val="22"/>
          <w:szCs w:val="22"/>
        </w:rPr>
      </w:pPr>
    </w:p>
    <w:sectPr w:rsidR="00E1566A" w:rsidRPr="00101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0789F"/>
    <w:multiLevelType w:val="multilevel"/>
    <w:tmpl w:val="9E3E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234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98"/>
    <w:rsid w:val="00091FBA"/>
    <w:rsid w:val="000B4C0C"/>
    <w:rsid w:val="00101E4D"/>
    <w:rsid w:val="002A5C55"/>
    <w:rsid w:val="00310064"/>
    <w:rsid w:val="003133FC"/>
    <w:rsid w:val="003254B4"/>
    <w:rsid w:val="00332A1E"/>
    <w:rsid w:val="00344279"/>
    <w:rsid w:val="0044065C"/>
    <w:rsid w:val="004F491C"/>
    <w:rsid w:val="005B5A84"/>
    <w:rsid w:val="007C1B93"/>
    <w:rsid w:val="00830331"/>
    <w:rsid w:val="00933549"/>
    <w:rsid w:val="00AD25D3"/>
    <w:rsid w:val="00B1676B"/>
    <w:rsid w:val="00BF70E2"/>
    <w:rsid w:val="00CB1568"/>
    <w:rsid w:val="00D31598"/>
    <w:rsid w:val="00E1566A"/>
    <w:rsid w:val="00E31D84"/>
    <w:rsid w:val="00E32835"/>
    <w:rsid w:val="00ED11E0"/>
    <w:rsid w:val="00F21901"/>
    <w:rsid w:val="00F33B94"/>
    <w:rsid w:val="00FE55E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FB9F429"/>
  <w15:chartTrackingRefBased/>
  <w15:docId w15:val="{340A07FE-BA78-2748-A83D-5E1BAADB8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semiHidden/>
    <w:unhideWhenUsed/>
    <w:qFormat/>
    <w:rsid w:val="00933549"/>
    <w:pPr>
      <w:spacing w:after="160" w:line="276" w:lineRule="auto"/>
    </w:pPr>
    <w:rPr>
      <w:rFonts w:ascii="Calibri Light" w:hAnsi="Calibri Light" w:cs="Segoe UI"/>
      <w:b/>
      <w:bCs/>
      <w:sz w:val="22"/>
      <w:szCs w:val="22"/>
      <w:lang w:val="en-US"/>
    </w:rPr>
  </w:style>
  <w:style w:type="paragraph" w:styleId="Subtitle">
    <w:name w:val="Subtitle"/>
    <w:basedOn w:val="Normal"/>
    <w:next w:val="Normal"/>
    <w:link w:val="SubtitleChar"/>
    <w:qFormat/>
    <w:rsid w:val="00933549"/>
    <w:pPr>
      <w:spacing w:after="160" w:line="276" w:lineRule="auto"/>
    </w:pPr>
    <w:rPr>
      <w:rFonts w:ascii="Calibri Light" w:hAnsi="Calibri Light" w:cs="Segoe UI"/>
      <w:sz w:val="18"/>
      <w:szCs w:val="18"/>
      <w:lang w:val="en-GB"/>
    </w:rPr>
  </w:style>
  <w:style w:type="character" w:customStyle="1" w:styleId="SubtitleChar">
    <w:name w:val="Subtitle Char"/>
    <w:basedOn w:val="DefaultParagraphFont"/>
    <w:link w:val="Subtitle"/>
    <w:rsid w:val="00933549"/>
    <w:rPr>
      <w:rFonts w:ascii="Calibri Light" w:hAnsi="Calibri Light" w:cs="Segoe UI"/>
      <w:sz w:val="18"/>
      <w:szCs w:val="18"/>
      <w:lang w:val="en-GB"/>
    </w:rPr>
  </w:style>
  <w:style w:type="paragraph" w:customStyle="1" w:styleId="c-article-referencestext">
    <w:name w:val="c-article-references__text"/>
    <w:basedOn w:val="Normal"/>
    <w:rsid w:val="00E1566A"/>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E1566A"/>
  </w:style>
  <w:style w:type="character" w:styleId="Hyperlink">
    <w:name w:val="Hyperlink"/>
    <w:basedOn w:val="DefaultParagraphFont"/>
    <w:uiPriority w:val="99"/>
    <w:semiHidden/>
    <w:unhideWhenUsed/>
    <w:rsid w:val="00E156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1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026/C2XW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Vink, P.A. (Pepijn)</dc:creator>
  <cp:keywords/>
  <dc:description/>
  <cp:lastModifiedBy>Vink, P.A. (Pepijn)</cp:lastModifiedBy>
  <cp:revision>15</cp:revision>
  <dcterms:created xsi:type="dcterms:W3CDTF">2022-09-29T14:03:00Z</dcterms:created>
  <dcterms:modified xsi:type="dcterms:W3CDTF">2023-11-03T09:17:00Z</dcterms:modified>
</cp:coreProperties>
</file>