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6A53A" w14:textId="77777777" w:rsidR="007A5067" w:rsidRPr="007A695B" w:rsidRDefault="00771497" w:rsidP="007A5067">
      <w:pPr>
        <w:pStyle w:val="Title"/>
      </w:pPr>
      <w:r>
        <w:t>BAV Project</w:t>
      </w:r>
    </w:p>
    <w:p w14:paraId="76AD6235" w14:textId="77777777" w:rsidR="007D07A8" w:rsidRPr="00AF0B56" w:rsidRDefault="00D81FD5" w:rsidP="002B12DA">
      <w:pPr>
        <w:pStyle w:val="Subtitle"/>
        <w:rPr>
          <w:color w:val="FF0000"/>
        </w:rPr>
      </w:pPr>
      <w:r>
        <w:rPr>
          <w:b/>
        </w:rPr>
        <w:t>Model estimation</w:t>
      </w:r>
    </w:p>
    <w:p w14:paraId="749D77AC" w14:textId="77777777" w:rsidR="00AF0B56" w:rsidRDefault="00AF0B56"/>
    <w:p w14:paraId="5804FB64" w14:textId="77777777" w:rsidR="00AF0B56" w:rsidRPr="0035233E" w:rsidRDefault="004B05AC">
      <w:pPr>
        <w:rPr>
          <w:b/>
        </w:rPr>
      </w:pPr>
      <w:r w:rsidRPr="0035233E">
        <w:rPr>
          <w:b/>
        </w:rPr>
        <w:t xml:space="preserve">Model from </w:t>
      </w:r>
      <w:r w:rsidR="0035233E" w:rsidRPr="0035233E">
        <w:rPr>
          <w:b/>
        </w:rPr>
        <w:t xml:space="preserve">first-round </w:t>
      </w:r>
      <w:r w:rsidRPr="0035233E">
        <w:rPr>
          <w:b/>
        </w:rPr>
        <w:t>paper</w:t>
      </w:r>
    </w:p>
    <w:p w14:paraId="522D198C" w14:textId="3C3F5648" w:rsidR="000F6BE9" w:rsidRPr="00B6467E" w:rsidRDefault="00335F18" w:rsidP="00492252">
      <w:pPr>
        <w:pStyle w:val="ListParagraph"/>
        <w:spacing w:after="0" w:line="360" w:lineRule="auto"/>
        <w:ind w:left="567"/>
        <w:contextualSpacing w:val="0"/>
        <w:rPr>
          <w:rFonts w:ascii="Times New Roman" w:hAnsi="Times New Roman" w:cs="Times New Roman"/>
          <w:sz w:val="24"/>
          <w:szCs w:val="24"/>
        </w:rPr>
      </w:pPr>
      <m:oMath>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Sales</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y=1</m:t>
            </m:r>
          </m:sub>
          <m:sup>
            <m:r>
              <m:rPr>
                <m:sty m:val="p"/>
              </m:rPr>
              <w:rPr>
                <w:rFonts w:ascii="Cambria Math" w:hAnsi="Cambria Math" w:cs="Times New Roman"/>
                <w:color w:val="000000" w:themeColor="text1"/>
                <w:sz w:val="24"/>
                <w:szCs w:val="24"/>
                <w:vertAlign w:val="subscript"/>
              </w:rPr>
              <m:t>Y</m:t>
            </m:r>
          </m:sup>
          <m:e>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α</m:t>
                    </m:r>
                  </m:e>
                  <m:sub>
                    <m:r>
                      <m:rPr>
                        <m:sty m:val="p"/>
                      </m:rPr>
                      <w:rPr>
                        <w:rFonts w:ascii="Cambria Math" w:hAnsi="Cambria Math" w:cs="Times New Roman"/>
                        <w:color w:val="000000" w:themeColor="text1"/>
                        <w:sz w:val="24"/>
                        <w:szCs w:val="24"/>
                        <w:vertAlign w:val="subscript"/>
                      </w:rPr>
                      <m:t>by</m:t>
                    </m:r>
                  </m:sub>
                </m:sSub>
                <m:r>
                  <m:rPr>
                    <m:sty m:val="p"/>
                  </m:rPr>
                  <w:rPr>
                    <w:rFonts w:ascii="Cambria Math" w:hAnsi="Cambria Math" w:cs="Times New Roman"/>
                    <w:color w:val="000000" w:themeColor="text1"/>
                    <w:sz w:val="24"/>
                    <w:szCs w:val="24"/>
                    <w:vertAlign w:val="subscript"/>
                  </w:rPr>
                  <m:t>D</m:t>
                </m:r>
              </m:e>
              <m:sub>
                <m:r>
                  <m:rPr>
                    <m:sty m:val="p"/>
                  </m:rPr>
                  <w:rPr>
                    <w:rFonts w:ascii="Cambria Math" w:hAnsi="Cambria Math" w:cs="Times New Roman"/>
                    <w:color w:val="000000" w:themeColor="text1"/>
                    <w:sz w:val="24"/>
                    <w:szCs w:val="24"/>
                    <w:vertAlign w:val="subscript"/>
                  </w:rPr>
                  <m:t>yt</m:t>
                </m:r>
              </m:sub>
            </m:sSub>
          </m:e>
        </m:nary>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β</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act_price</m:t>
                </m:r>
              </m:e>
              <m:sub>
                <m:r>
                  <m:rPr>
                    <m:sty m:val="p"/>
                  </m:rPr>
                  <w:rPr>
                    <w:rFonts w:ascii="Cambria Math" w:hAnsi="Cambria Math" w:cs="Times New Roman"/>
                    <w:color w:val="000000" w:themeColor="text1"/>
                    <w:sz w:val="24"/>
                    <w:szCs w:val="24"/>
                    <w:vertAlign w:val="subscript"/>
                  </w:rPr>
                  <m:t>bt</m:t>
                </m:r>
              </m:sub>
            </m:sSub>
          </m:e>
        </m:func>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γ</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promo</m:t>
            </m:r>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δ</m:t>
                </m:r>
              </m:e>
              <m:sub>
                <m:r>
                  <m:rPr>
                    <m:sty m:val="p"/>
                  </m:rPr>
                  <w:rPr>
                    <w:rFonts w:ascii="Cambria Math" w:hAnsi="Cambria Math" w:cs="Times New Roman"/>
                    <w:color w:val="000000" w:themeColor="text1"/>
                    <w:sz w:val="24"/>
                    <w:szCs w:val="24"/>
                    <w:vertAlign w:val="subscript"/>
                  </w:rPr>
                  <m:t>b</m:t>
                </m:r>
              </m:sub>
            </m:sSub>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 xml:space="preserve"> pct_store_sku</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θ</m:t>
            </m:r>
          </m:e>
          <m:sub>
            <m:r>
              <m:rPr>
                <m:sty m:val="p"/>
              </m:rPr>
              <w:rPr>
                <w:rFonts w:ascii="Cambria Math" w:hAnsi="Cambria Math" w:cs="Times New Roman"/>
                <w:color w:val="000000" w:themeColor="text1"/>
                <w:sz w:val="24"/>
                <w:szCs w:val="24"/>
                <w:vertAlign w:val="subscript"/>
              </w:rPr>
              <m:t>b</m:t>
            </m:r>
          </m:sub>
        </m:sSub>
        <m:sSub>
          <m:sSubPr>
            <m:ctrlPr>
              <w:rPr>
                <w:rFonts w:ascii="Cambria Math" w:hAnsi="Cambria Math" w:cs="Times New Roman"/>
                <w:color w:val="000000" w:themeColor="text1"/>
                <w:sz w:val="24"/>
                <w:szCs w:val="24"/>
                <w:vertAlign w:val="subscript"/>
              </w:rPr>
            </m:ctrlPr>
          </m:sSubPr>
          <m:e>
            <m:func>
              <m:funcPr>
                <m:ctrlPr>
                  <w:rPr>
                    <w:rFonts w:ascii="Cambria Math" w:hAnsi="Cambria Math" w:cs="Times New Roman"/>
                    <w:color w:val="000000" w:themeColor="text1"/>
                    <w:sz w:val="24"/>
                    <w:szCs w:val="24"/>
                    <w:vertAlign w:val="subscript"/>
                  </w:rPr>
                </m:ctrlPr>
              </m:funcPr>
              <m:fName>
                <m:r>
                  <m:rPr>
                    <m:sty m:val="p"/>
                  </m:rPr>
                  <w:rPr>
                    <w:rFonts w:ascii="Cambria Math" w:hAnsi="Cambria Math" w:cs="Times New Roman"/>
                    <w:color w:val="000000" w:themeColor="text1"/>
                    <w:sz w:val="24"/>
                    <w:szCs w:val="24"/>
                    <w:vertAlign w:val="subscript"/>
                  </w:rPr>
                  <m:t>ln</m:t>
                </m:r>
              </m:fName>
              <m:e>
                <m:r>
                  <m:rPr>
                    <m:sty m:val="p"/>
                  </m:rPr>
                  <w:rPr>
                    <w:rFonts w:ascii="Cambria Math" w:hAnsi="Cambria Math" w:cs="Times New Roman"/>
                    <w:color w:val="000000" w:themeColor="text1"/>
                    <w:sz w:val="24"/>
                    <w:szCs w:val="24"/>
                    <w:vertAlign w:val="subscript"/>
                  </w:rPr>
                  <m:t>ad_stock</m:t>
                </m:r>
              </m:e>
            </m:func>
          </m:e>
          <m:sub>
            <m:r>
              <m:rPr>
                <m:sty m:val="p"/>
              </m:rPr>
              <w:rPr>
                <w:rFonts w:ascii="Cambria Math" w:hAnsi="Cambria Math" w:cs="Times New Roman"/>
                <w:color w:val="000000" w:themeColor="text1"/>
                <w:sz w:val="24"/>
                <w:szCs w:val="24"/>
                <w:vertAlign w:val="subscript"/>
              </w:rPr>
              <m:t>bt</m:t>
            </m:r>
          </m:sub>
        </m:sSub>
        <m:r>
          <m:rPr>
            <m:sty m:val="p"/>
          </m:rPr>
          <w:rPr>
            <w:rFonts w:ascii="Cambria Math" w:hAnsi="Cambria Math" w:cs="Times New Roman"/>
            <w:color w:val="000000" w:themeColor="text1"/>
            <w:sz w:val="24"/>
            <w:szCs w:val="24"/>
            <w:vertAlign w:val="subscript"/>
          </w:rPr>
          <m:t>+</m:t>
        </m:r>
        <m:nary>
          <m:naryPr>
            <m:chr m:val="∑"/>
            <m:limLoc m:val="subSup"/>
            <m:ctrlPr>
              <w:rPr>
                <w:rFonts w:ascii="Cambria Math" w:hAnsi="Cambria Math" w:cs="Times New Roman"/>
                <w:color w:val="000000" w:themeColor="text1"/>
                <w:sz w:val="24"/>
                <w:szCs w:val="24"/>
                <w:vertAlign w:val="subscript"/>
              </w:rPr>
            </m:ctrlPr>
          </m:naryPr>
          <m:sub>
            <m:r>
              <m:rPr>
                <m:sty m:val="p"/>
              </m:rPr>
              <w:rPr>
                <w:rFonts w:ascii="Cambria Math" w:hAnsi="Cambria Math" w:cs="Times New Roman"/>
                <w:color w:val="000000" w:themeColor="text1"/>
                <w:sz w:val="24"/>
                <w:szCs w:val="24"/>
                <w:vertAlign w:val="subscript"/>
              </w:rPr>
              <m:t>q=2</m:t>
            </m:r>
          </m:sub>
          <m:sup>
            <m:r>
              <m:rPr>
                <m:sty m:val="p"/>
              </m:rPr>
              <w:rPr>
                <w:rFonts w:ascii="Cambria Math" w:hAnsi="Cambria Math" w:cs="Times New Roman"/>
                <w:color w:val="000000" w:themeColor="text1"/>
                <w:sz w:val="24"/>
                <w:szCs w:val="24"/>
                <w:vertAlign w:val="subscript"/>
              </w:rPr>
              <m:t>4</m:t>
            </m:r>
          </m:sup>
          <m:e>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κ</m:t>
                </m:r>
              </m:e>
              <m:sub>
                <m:r>
                  <m:rPr>
                    <m:sty m:val="p"/>
                  </m:rPr>
                  <w:rPr>
                    <w:rFonts w:ascii="Cambria Math" w:hAnsi="Cambria Math" w:cs="Times New Roman"/>
                    <w:color w:val="000000" w:themeColor="text1"/>
                    <w:sz w:val="24"/>
                    <w:szCs w:val="24"/>
                    <w:vertAlign w:val="subscript"/>
                  </w:rPr>
                  <m:t>bq-1</m:t>
                </m:r>
              </m:sub>
            </m:sSub>
            <m:sSub>
              <m:sSubPr>
                <m:ctrlPr>
                  <w:rPr>
                    <w:rFonts w:ascii="Cambria Math" w:hAnsi="Cambria Math" w:cs="Times New Roman"/>
                    <w:color w:val="000000" w:themeColor="text1"/>
                    <w:sz w:val="24"/>
                    <w:szCs w:val="24"/>
                    <w:vertAlign w:val="subscript"/>
                  </w:rPr>
                </m:ctrlPr>
              </m:sSubPr>
              <m:e>
                <m:r>
                  <m:rPr>
                    <m:sty m:val="p"/>
                  </m:rPr>
                  <w:rPr>
                    <w:rFonts w:ascii="Cambria Math" w:hAnsi="Cambria Math" w:cs="Times New Roman"/>
                    <w:color w:val="000000" w:themeColor="text1"/>
                    <w:sz w:val="24"/>
                    <w:szCs w:val="24"/>
                    <w:vertAlign w:val="subscript"/>
                  </w:rPr>
                  <m:t>Q</m:t>
                </m:r>
              </m:e>
              <m:sub>
                <m:r>
                  <m:rPr>
                    <m:sty m:val="p"/>
                  </m:rPr>
                  <w:rPr>
                    <w:rFonts w:ascii="Cambria Math" w:hAnsi="Cambria Math" w:cs="Times New Roman"/>
                    <w:color w:val="000000" w:themeColor="text1"/>
                    <w:sz w:val="24"/>
                    <w:szCs w:val="24"/>
                    <w:vertAlign w:val="subscript"/>
                  </w:rPr>
                  <m:t>qt</m:t>
                </m:r>
              </m:sub>
            </m:sSub>
          </m:e>
        </m:nary>
        <m:r>
          <m:rPr>
            <m:sty m:val="p"/>
          </m:rPr>
          <w:rPr>
            <w:rFonts w:ascii="Cambria Math" w:hAnsi="Cambria Math" w:cs="Times New Roman"/>
            <w:sz w:val="24"/>
            <w:szCs w:val="24"/>
            <w:vertAlign w:val="subscript"/>
          </w:rPr>
          <m:t>+</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ε</m:t>
            </m:r>
          </m:e>
          <m:sub>
            <m:r>
              <m:rPr>
                <m:sty m:val="p"/>
              </m:rPr>
              <w:rPr>
                <w:rFonts w:ascii="Cambria Math" w:hAnsi="Cambria Math" w:cs="Times New Roman"/>
                <w:sz w:val="24"/>
                <w:szCs w:val="24"/>
                <w:vertAlign w:val="subscript"/>
              </w:rPr>
              <m:t>bt</m:t>
            </m:r>
          </m:sub>
        </m:sSub>
      </m:oMath>
      <w:r w:rsidR="00492252" w:rsidRPr="00B6467E">
        <w:rPr>
          <w:rFonts w:ascii="Times New Roman" w:eastAsiaTheme="minorEastAsia" w:hAnsi="Times New Roman" w:cs="Times New Roman"/>
          <w:sz w:val="24"/>
          <w:szCs w:val="24"/>
          <w:vertAlign w:val="subscript"/>
        </w:rPr>
        <w:t xml:space="preserve"> </w:t>
      </w:r>
    </w:p>
    <w:p w14:paraId="2739F11E" w14:textId="77777777" w:rsidR="00AF5200" w:rsidRDefault="00AF5200">
      <w:pPr>
        <w:rPr>
          <w:b/>
        </w:rPr>
      </w:pPr>
    </w:p>
    <w:p w14:paraId="74E3DCE5" w14:textId="77777777" w:rsidR="007F1919" w:rsidRDefault="007F1919" w:rsidP="007F1919">
      <w:pPr>
        <w:rPr>
          <w:b/>
        </w:rPr>
      </w:pPr>
      <w:r>
        <w:rPr>
          <w:b/>
        </w:rPr>
        <w:t>My suggestion for an MNL Market share model</w:t>
      </w:r>
    </w:p>
    <w:p w14:paraId="649E2497" w14:textId="77777777" w:rsidR="007F1919" w:rsidRDefault="007F1919" w:rsidP="007F1919">
      <w:pPr>
        <w:pStyle w:val="ListParagraph"/>
        <w:numPr>
          <w:ilvl w:val="0"/>
          <w:numId w:val="10"/>
        </w:numPr>
        <w:spacing w:line="256" w:lineRule="auto"/>
      </w:pPr>
      <w:r>
        <w:t>Following Cooper and Nakanishi (2010, p. 128), the attraction A</w:t>
      </w:r>
      <w:r>
        <w:rPr>
          <w:vertAlign w:val="subscript"/>
        </w:rPr>
        <w:t>bt</w:t>
      </w:r>
      <w:r>
        <w:t xml:space="preserve"> for brand b in period t and its associated market share s</w:t>
      </w:r>
      <w:r>
        <w:rPr>
          <w:vertAlign w:val="subscript"/>
        </w:rPr>
        <w:t>bt</w:t>
      </w:r>
      <w:r>
        <w:t xml:space="preserve"> in an MNL model are given by</w:t>
      </w:r>
    </w:p>
    <w:p w14:paraId="21EEA82C" w14:textId="7E4CD6EF" w:rsidR="007F1919" w:rsidRDefault="007F1919" w:rsidP="007F1919">
      <w:pPr>
        <w:tabs>
          <w:tab w:val="center" w:pos="4590"/>
          <w:tab w:val="right" w:pos="9360"/>
        </w:tabs>
        <w:ind w:firstLine="720"/>
        <w:rPr>
          <w:rFonts w:eastAsiaTheme="minorEastAsia"/>
        </w:rPr>
      </w:pPr>
      <w:r>
        <w:rPr>
          <w:rFonts w:eastAsiaTheme="minorEastAsia"/>
        </w:rP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e>
                    </m:groupChr>
                  </m:e>
                  <m:lim>
                    <m:eqArr>
                      <m:eqArrPr>
                        <m:ctrlPr>
                          <w:rPr>
                            <w:rFonts w:ascii="Cambria Math" w:hAnsi="Cambria Math"/>
                          </w:rPr>
                        </m:ctrlPr>
                      </m:eqArrPr>
                      <m:e>
                        <m:r>
                          <m:rPr>
                            <m:nor/>
                          </m:rPr>
                          <w:rPr>
                            <w:rFonts w:ascii="Cambria Math" w:hAnsi="Cambria Math"/>
                          </w:rPr>
                          <m:t xml:space="preserve">brand- and year-  </m:t>
                        </m:r>
                      </m:e>
                      <m:e>
                        <m:r>
                          <m:rPr>
                            <m:nor/>
                          </m:rPr>
                          <w:rPr>
                            <w:rFonts w:ascii="Cambria Math" w:hAnsi="Cambria Math"/>
                          </w:rPr>
                          <m:t>specific dummies</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e>
                    </m:groupChr>
                  </m:e>
                  <m:lim>
                    <m:eqArr>
                      <m:eqArrPr>
                        <m:ctrlPr>
                          <w:rPr>
                            <w:rFonts w:ascii="Cambria Math" w:hAnsi="Cambria Math"/>
                          </w:rPr>
                        </m:ctrlPr>
                      </m:eqArrPr>
                      <m:e>
                        <m:r>
                          <m:rPr>
                            <m:nor/>
                          </m:rPr>
                          <w:rPr>
                            <w:rFonts w:ascii="Cambria Math" w:hAnsi="Cambria Math"/>
                          </w:rPr>
                          <m:t xml:space="preserve">matrix of </m:t>
                        </m:r>
                      </m:e>
                      <m:e>
                        <m:r>
                          <m:rPr>
                            <m:nor/>
                          </m:rPr>
                          <w:rPr>
                            <w:rFonts w:ascii="Cambria Math" w:hAnsi="Cambria Math"/>
                          </w:rPr>
                          <m:t>marketing mix</m:t>
                        </m:r>
                      </m:e>
                    </m:eqArr>
                  </m:lim>
                </m:limLow>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e>
                    </m:groupChr>
                  </m:e>
                  <m:lim>
                    <m:r>
                      <m:rPr>
                        <m:nor/>
                      </m:rPr>
                      <w:rPr>
                        <w:rFonts w:ascii="Cambria Math" w:hAnsi="Cambria Math"/>
                      </w:rPr>
                      <m:t>matrix of attribute-levels</m:t>
                    </m:r>
                  </m:lim>
                </m:limLow>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d>
          </m:e>
        </m:func>
      </m:oMath>
      <w:r>
        <w:rPr>
          <w:rFonts w:eastAsiaTheme="minorEastAsia"/>
        </w:rPr>
        <w:t xml:space="preserve"> </w:t>
      </w:r>
      <w:r>
        <w:rPr>
          <w:rFonts w:eastAsiaTheme="minorEastAsia"/>
        </w:rPr>
        <w:tab/>
        <w:t>(1)</w:t>
      </w:r>
    </w:p>
    <w:p w14:paraId="5BB6685D" w14:textId="77777777" w:rsidR="007F1919" w:rsidRDefault="007F1919" w:rsidP="007F1919">
      <w:pPr>
        <w:jc w:val="center"/>
        <w:rPr>
          <w:rFonts w:eastAsiaTheme="minorEastAsia"/>
        </w:rPr>
      </w:pPr>
      <w:r>
        <w:rPr>
          <w:rFonts w:eastAsiaTheme="minorEastAsia"/>
        </w:rPr>
        <w:t>and</w:t>
      </w:r>
    </w:p>
    <w:p w14:paraId="7FCEA374" w14:textId="77777777" w:rsidR="007F1919" w:rsidRDefault="007F1919" w:rsidP="007F1919">
      <w:pPr>
        <w:tabs>
          <w:tab w:val="center" w:pos="4590"/>
          <w:tab w:val="right" w:pos="9360"/>
        </w:tabs>
        <w:rPr>
          <w:rFonts w:ascii="Cambria Math" w:hAnsi="Cambria Math"/>
        </w:rPr>
      </w:pPr>
      <w:r>
        <w:rPr>
          <w:rFonts w:eastAsiaTheme="minorEastAsia"/>
        </w:rPr>
        <w:tab/>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bt</m:t>
                </m:r>
              </m:sub>
            </m:sSub>
          </m:num>
          <m:den>
            <m:nary>
              <m:naryPr>
                <m:chr m:val="∑"/>
                <m:limLoc m:val="subSup"/>
                <m:ctrlPr>
                  <w:rPr>
                    <w:rFonts w:ascii="Cambria Math" w:hAnsi="Cambria Math"/>
                  </w:rPr>
                </m:ctrlPr>
              </m:naryPr>
              <m:sub>
                <m:r>
                  <m:rPr>
                    <m:sty m:val="p"/>
                  </m:rPr>
                  <w:rPr>
                    <w:rFonts w:ascii="Cambria Math" w:hAnsi="Cambria Math"/>
                  </w:rPr>
                  <m:t>j=1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jt</m:t>
                    </m:r>
                  </m:sub>
                </m:sSub>
              </m:e>
            </m:nary>
          </m:den>
        </m:f>
      </m:oMath>
      <w:r>
        <w:rPr>
          <w:rFonts w:ascii="Cambria Math" w:eastAsiaTheme="minorEastAsia" w:hAnsi="Cambria Math"/>
        </w:rPr>
        <w:tab/>
      </w:r>
      <w:r>
        <w:rPr>
          <w:rFonts w:eastAsiaTheme="minorEastAsia"/>
        </w:rPr>
        <w:t>(2)</w:t>
      </w:r>
    </w:p>
    <w:p w14:paraId="35619A05" w14:textId="77777777" w:rsidR="007F1919" w:rsidRDefault="007F1919" w:rsidP="007F1919">
      <w:pPr>
        <w:ind w:left="720"/>
        <w:rPr>
          <w:rFonts w:eastAsiaTheme="minorEastAsia"/>
        </w:rPr>
      </w:pPr>
      <w:r>
        <w:rPr>
          <w:rFonts w:eastAsiaTheme="minorEastAsia"/>
        </w:rPr>
        <w:t>where α</w:t>
      </w:r>
      <w:r>
        <w:rPr>
          <w:rFonts w:eastAsiaTheme="minorEastAsia"/>
          <w:vertAlign w:val="subscript"/>
        </w:rPr>
        <w:t>by</w:t>
      </w:r>
      <w:r>
        <w:rPr>
          <w:rFonts w:eastAsiaTheme="minorEastAsia"/>
        </w:rPr>
        <w:t xml:space="preserve"> is brand- and year-specific intercept (set to zero in one year for one brand), </w:t>
      </w:r>
      <w:r>
        <w:rPr>
          <w:rFonts w:eastAsiaTheme="minorEastAsia"/>
          <w:i/>
        </w:rPr>
        <w:t>X</w:t>
      </w:r>
      <w:r>
        <w:rPr>
          <w:rFonts w:eastAsiaTheme="minorEastAsia"/>
          <w:i/>
          <w:vertAlign w:val="subscript"/>
        </w:rPr>
        <w:t>bkt</w:t>
      </w:r>
      <w:r>
        <w:rPr>
          <w:rFonts w:eastAsiaTheme="minorEastAsia"/>
        </w:rPr>
        <w:t xml:space="preserve"> is the matrix of explanatory variables (price, promotion, distribution, and ad-stock) with heterogenous response coefficients, W</w:t>
      </w:r>
      <w:r>
        <w:rPr>
          <w:rFonts w:eastAsiaTheme="minorEastAsia"/>
          <w:vertAlign w:val="subscript"/>
        </w:rPr>
        <w:t>bl</w:t>
      </w:r>
      <w:r>
        <w:rPr>
          <w:rFonts w:eastAsiaTheme="minorEastAsia"/>
        </w:rPr>
        <w:t xml:space="preserve"> is the matrix of brands’ attribute levels with homogenous response coefficients, </w:t>
      </w:r>
      <w:r>
        <w:rPr>
          <w:rFonts w:eastAsiaTheme="minorEastAsia"/>
        </w:rPr>
        <w:sym w:font="Symbol" w:char="F065"/>
      </w:r>
      <w:r>
        <w:rPr>
          <w:rFonts w:eastAsiaTheme="minorEastAsia"/>
          <w:vertAlign w:val="subscript"/>
        </w:rPr>
        <w:t>bt</w:t>
      </w:r>
      <w:r>
        <w:rPr>
          <w:rFonts w:eastAsiaTheme="minorEastAsia"/>
        </w:rPr>
        <w:t xml:space="preserve"> is the error term, and m is the number of all available brands b in time period t.</w:t>
      </w:r>
    </w:p>
    <w:p w14:paraId="7C5E7579" w14:textId="77777777" w:rsidR="007F1919" w:rsidRDefault="007F1919" w:rsidP="007F1919">
      <w:pPr>
        <w:rPr>
          <w:rFonts w:eastAsiaTheme="minorEastAsia"/>
        </w:rPr>
      </w:pPr>
    </w:p>
    <w:p w14:paraId="4ECDA3FC" w14:textId="77777777" w:rsidR="007F1919" w:rsidRDefault="007F1919" w:rsidP="007F1919">
      <w:pPr>
        <w:pStyle w:val="ListParagraph"/>
        <w:numPr>
          <w:ilvl w:val="0"/>
          <w:numId w:val="10"/>
        </w:numPr>
        <w:spacing w:line="256" w:lineRule="auto"/>
        <w:rPr>
          <w:rFonts w:eastAsiaTheme="minorEastAsia"/>
        </w:rPr>
      </w:pPr>
      <w:r>
        <w:rPr>
          <w:rFonts w:eastAsiaTheme="minorEastAsia"/>
        </w:rPr>
        <w:t>Linearizing equation (1) yields</w:t>
      </w:r>
    </w:p>
    <w:p w14:paraId="4218CC4B" w14:textId="4A49E40B" w:rsidR="007F1919" w:rsidRDefault="007F1919" w:rsidP="007F1919">
      <w:pPr>
        <w:tabs>
          <w:tab w:val="center" w:pos="4590"/>
          <w:tab w:val="right" w:pos="9360"/>
        </w:tabs>
        <w:ind w:firstLine="720"/>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ab/>
        <w:t>(3)</w:t>
      </w:r>
    </w:p>
    <w:p w14:paraId="4C62399A" w14:textId="77777777" w:rsidR="007F1919" w:rsidRDefault="007F1919" w:rsidP="007F1919">
      <w:pPr>
        <w:pStyle w:val="ListParagraph"/>
        <w:rPr>
          <w:rFonts w:eastAsiaTheme="minorEastAsia"/>
        </w:rPr>
      </w:pPr>
    </w:p>
    <w:p w14:paraId="6F48B969" w14:textId="77777777" w:rsidR="007F1919" w:rsidRDefault="007F1919" w:rsidP="007F1919">
      <w:pPr>
        <w:pStyle w:val="ListParagraph"/>
        <w:numPr>
          <w:ilvl w:val="0"/>
          <w:numId w:val="10"/>
        </w:numPr>
        <w:spacing w:line="256" w:lineRule="auto"/>
        <w:rPr>
          <w:rFonts w:eastAsiaTheme="minorEastAsia"/>
        </w:rPr>
      </w:pPr>
      <w:r>
        <w:rPr>
          <w:rFonts w:eastAsiaTheme="minorEastAsia"/>
        </w:rPr>
        <w:t>Introduction of endogeneity</w:t>
      </w:r>
    </w:p>
    <w:p w14:paraId="53FDE3A2" w14:textId="77777777" w:rsidR="007F1919" w:rsidRDefault="007F1919" w:rsidP="007F1919">
      <w:pPr>
        <w:pStyle w:val="ListParagraph"/>
        <w:rPr>
          <w:rFonts w:eastAsiaTheme="minorEastAsia"/>
        </w:rPr>
      </w:pPr>
    </w:p>
    <w:p w14:paraId="4E12ACAC" w14:textId="77777777" w:rsidR="007F1919" w:rsidRDefault="007F1919" w:rsidP="007F1919">
      <w:pPr>
        <w:pStyle w:val="ListParagraph"/>
        <w:rPr>
          <w:rFonts w:eastAsiaTheme="minorEastAsia"/>
        </w:rPr>
      </w:pPr>
      <w:r>
        <w:rPr>
          <w:rFonts w:eastAsiaTheme="minorEastAsia"/>
        </w:rPr>
        <w:t>Gaussian copulas are used to model the correlation between the potentially endogenous regressors contained in X (Price</w:t>
      </w:r>
      <w:r>
        <w:rPr>
          <w:rFonts w:eastAsiaTheme="minorEastAsia"/>
          <w:vertAlign w:val="subscript"/>
        </w:rPr>
        <w:t>bt</w:t>
      </w:r>
      <w:r>
        <w:rPr>
          <w:rFonts w:eastAsiaTheme="minorEastAsia"/>
        </w:rPr>
        <w:t>, Promotion</w:t>
      </w:r>
      <w:r>
        <w:rPr>
          <w:rFonts w:eastAsiaTheme="minorEastAsia"/>
          <w:vertAlign w:val="subscript"/>
        </w:rPr>
        <w:t>bt</w:t>
      </w:r>
      <w:r>
        <w:rPr>
          <w:rFonts w:eastAsiaTheme="minorEastAsia"/>
        </w:rPr>
        <w:t>, Distribution</w:t>
      </w:r>
      <w:r>
        <w:rPr>
          <w:rFonts w:eastAsiaTheme="minorEastAsia"/>
          <w:vertAlign w:val="subscript"/>
        </w:rPr>
        <w:t>bt</w:t>
      </w:r>
      <w:r>
        <w:rPr>
          <w:rFonts w:eastAsiaTheme="minorEastAsia"/>
        </w:rPr>
        <w:t>, and AdStock</w:t>
      </w:r>
      <w:r>
        <w:rPr>
          <w:rFonts w:eastAsiaTheme="minorEastAsia"/>
          <w:vertAlign w:val="subscript"/>
        </w:rPr>
        <w:t>bt</w:t>
      </w:r>
      <w:r>
        <w:rPr>
          <w:rFonts w:eastAsiaTheme="minorEastAsia"/>
        </w:rPr>
        <w:t xml:space="preserve">), and the error term </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oMath>
      <w:r>
        <w:rPr>
          <w:rFonts w:eastAsiaTheme="minorEastAsia"/>
        </w:rPr>
        <w:t>. Following Park and Gupta (2012), we compute control variables, and add them to the matrix X. We apply the following transformation (see footnote 3, p. 572 in Park and Gupta 2012): X</w:t>
      </w:r>
      <w:r>
        <w:rPr>
          <w:rFonts w:eastAsiaTheme="minorEastAsia"/>
          <w:vertAlign w:val="superscript"/>
        </w:rPr>
        <w:t>*</w:t>
      </w:r>
      <w:r>
        <w:rPr>
          <w:rFonts w:eastAsiaTheme="minorEastAsia"/>
          <w:vertAlign w:val="subscript"/>
        </w:rPr>
        <w:t>bkt</w:t>
      </w:r>
      <w:r>
        <w:rPr>
          <w:rFonts w:eastAsiaTheme="minorEastAsia"/>
        </w:rPr>
        <w:t>=</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d>
          <m:dPr>
            <m:ctrlPr>
              <w:rPr>
                <w:rFonts w:ascii="Cambria Math" w:eastAsiaTheme="minorEastAsia" w:hAnsi="Cambria Math"/>
              </w:rPr>
            </m:ctrlPr>
          </m:dPr>
          <m:e>
            <m:r>
              <m:rPr>
                <m:sty m:val="p"/>
              </m:rPr>
              <w:rPr>
                <w:rFonts w:ascii="Cambria Math" w:eastAsiaTheme="minorEastAsia" w:hAnsi="Cambria Math"/>
              </w:rPr>
              <m:t>H</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bkt</m:t>
                    </m:r>
                  </m:sub>
                </m:sSub>
              </m:e>
            </m:d>
          </m:e>
        </m:d>
      </m:oMath>
      <w:r>
        <w:rPr>
          <w:rFonts w:eastAsiaTheme="minorEastAsia"/>
        </w:rPr>
        <w:t xml:space="preserve">, where </w:t>
      </w:r>
      <m:oMath>
        <m:sSup>
          <m:sSupPr>
            <m:ctrlPr>
              <w:rPr>
                <w:rFonts w:ascii="Cambria Math" w:eastAsiaTheme="minorEastAsia" w:hAnsi="Cambria Math"/>
              </w:rPr>
            </m:ctrlPr>
          </m:sSupPr>
          <m:e>
            <m:r>
              <m:rPr>
                <m:sty m:val="p"/>
              </m:rPr>
              <w:rPr>
                <w:rFonts w:ascii="Cambria Math" w:eastAsiaTheme="minorEastAsia" w:hAnsi="Cambria Math"/>
              </w:rPr>
              <m:t>Φ</m:t>
            </m:r>
          </m:e>
          <m:sup>
            <m:r>
              <m:rPr>
                <m:sty m:val="p"/>
              </m:rPr>
              <w:rPr>
                <w:rFonts w:ascii="Cambria Math" w:eastAsiaTheme="minorEastAsia" w:hAnsi="Cambria Math"/>
              </w:rPr>
              <m:t>-1</m:t>
            </m:r>
          </m:sup>
        </m:sSup>
      </m:oMath>
      <w:r>
        <w:rPr>
          <w:rFonts w:eastAsiaTheme="minorEastAsia"/>
        </w:rPr>
        <w:t xml:space="preserve"> is the inverse distribution function of the standard normal, and H(·) is the empirical cumulative distribution function of X</w:t>
      </w:r>
      <w:r>
        <w:rPr>
          <w:rFonts w:eastAsiaTheme="minorEastAsia"/>
          <w:vertAlign w:val="subscript"/>
        </w:rPr>
        <w:t>bk</w:t>
      </w:r>
      <w:r>
        <w:rPr>
          <w:rFonts w:eastAsiaTheme="minorEastAsia"/>
        </w:rPr>
        <w:t xml:space="preserve"> (or of X</w:t>
      </w:r>
      <w:r>
        <w:rPr>
          <w:rFonts w:eastAsiaTheme="minorEastAsia"/>
          <w:vertAlign w:val="subscript"/>
        </w:rPr>
        <w:t>k</w:t>
      </w:r>
      <w:r>
        <w:rPr>
          <w:rFonts w:eastAsiaTheme="minorEastAsia"/>
        </w:rPr>
        <w:t>, discuss this with Harald).</w:t>
      </w:r>
    </w:p>
    <w:p w14:paraId="3D770EC3" w14:textId="77777777" w:rsidR="007F1919" w:rsidRDefault="007F1919" w:rsidP="007F1919">
      <w:pPr>
        <w:pStyle w:val="ListParagraph"/>
        <w:rPr>
          <w:rFonts w:eastAsiaTheme="minorEastAsia"/>
        </w:rPr>
      </w:pPr>
    </w:p>
    <w:p w14:paraId="43422BD3" w14:textId="33AA1CE6" w:rsidR="00993F05" w:rsidRDefault="00993F05" w:rsidP="007F1919">
      <w:pPr>
        <w:pStyle w:val="ListParagraph"/>
        <w:numPr>
          <w:ilvl w:val="0"/>
          <w:numId w:val="10"/>
        </w:numPr>
        <w:spacing w:line="256" w:lineRule="auto"/>
        <w:rPr>
          <w:rFonts w:eastAsiaTheme="minorEastAsia"/>
        </w:rPr>
      </w:pPr>
      <w:r>
        <w:rPr>
          <w:rFonts w:eastAsiaTheme="minorEastAsia"/>
        </w:rPr>
        <w:lastRenderedPageBreak/>
        <w:t xml:space="preserve">We follow the base-brand approach (which yields the exact same coefficients </w:t>
      </w:r>
      <w:r w:rsidR="00123768">
        <w:rPr>
          <w:rFonts w:eastAsiaTheme="minorEastAsia"/>
        </w:rPr>
        <w:t>as</w:t>
      </w:r>
      <w:r>
        <w:rPr>
          <w:rFonts w:eastAsiaTheme="minorEastAsia"/>
        </w:rPr>
        <w:t xml:space="preserve"> the </w:t>
      </w:r>
      <w:r w:rsidR="00123768">
        <w:rPr>
          <w:rFonts w:eastAsiaTheme="minorEastAsia"/>
        </w:rPr>
        <w:t xml:space="preserve">log mean-centering </w:t>
      </w:r>
      <w:r>
        <w:rPr>
          <w:rFonts w:eastAsiaTheme="minorEastAsia"/>
        </w:rPr>
        <w:t>approach advocated by Coop</w:t>
      </w:r>
      <w:r w:rsidR="00855EF0">
        <w:rPr>
          <w:rFonts w:eastAsiaTheme="minorEastAsia"/>
        </w:rPr>
        <w:t xml:space="preserve">er and Nakanishi, 2010). We subtract </w:t>
      </w:r>
      <w:r>
        <w:rPr>
          <w:rFonts w:eastAsiaTheme="minorEastAsia"/>
        </w:rPr>
        <w:t>an arbitrary base brand B</w:t>
      </w:r>
      <w:r w:rsidR="00855EF0">
        <w:rPr>
          <w:rFonts w:eastAsiaTheme="minorEastAsia"/>
        </w:rPr>
        <w:t xml:space="preserve"> (typically one that has </w:t>
      </w:r>
      <w:r w:rsidR="00B53D06">
        <w:rPr>
          <w:rFonts w:eastAsiaTheme="minorEastAsia"/>
        </w:rPr>
        <w:t>maximum coverage in terms of number of observations</w:t>
      </w:r>
      <w:r w:rsidR="00855EF0">
        <w:rPr>
          <w:rFonts w:eastAsiaTheme="minorEastAsia"/>
        </w:rPr>
        <w:t>)</w:t>
      </w:r>
      <w:r>
        <w:rPr>
          <w:rFonts w:eastAsiaTheme="minorEastAsia"/>
        </w:rPr>
        <w:t xml:space="preserve">, </w:t>
      </w:r>
      <w:r w:rsidR="00F40E87">
        <w:rPr>
          <w:rFonts w:eastAsiaTheme="minorEastAsia"/>
        </w:rPr>
        <w:t>and transform</w:t>
      </w:r>
    </w:p>
    <w:p w14:paraId="516732D5" w14:textId="58497F9D" w:rsidR="007F1919" w:rsidRDefault="007F1919" w:rsidP="007F1919">
      <w:pPr>
        <w:pStyle w:val="ListParagraph"/>
        <w:tabs>
          <w:tab w:val="center" w:pos="4590"/>
          <w:tab w:val="right" w:pos="9360"/>
        </w:tabs>
        <w:rPr>
          <w:rFonts w:eastAsiaTheme="minorEastAsia"/>
        </w:rPr>
      </w:pPr>
      <w:r w:rsidRPr="00181163">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r>
          <m:rPr>
            <m:sty m:val="p"/>
          </m:rPr>
          <w:rPr>
            <w:rFonts w:ascii="Cambria Math" w:eastAsiaTheme="minorEastAsia" w:hAnsi="Cambria Math"/>
          </w:rPr>
          <m:t>-</m:t>
        </m:r>
        <m:nary>
          <m:naryPr>
            <m:chr m:val="∑"/>
            <m:limLoc m:val="subSup"/>
            <m:ctrlPr>
              <w:rPr>
                <w:rFonts w:ascii="Cambria Math" w:hAnsi="Cambria Math"/>
              </w:rPr>
            </m:ctrlPr>
          </m:naryPr>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 xml:space="preserve"> =1</m:t>
            </m:r>
          </m:sub>
          <m:sup>
            <m:r>
              <m:rPr>
                <m:sty m:val="p"/>
              </m:rPr>
              <w:rPr>
                <w:rFonts w:ascii="Cambria Math" w:hAnsi="Cambria Math"/>
              </w:rPr>
              <m:t>B</m:t>
            </m:r>
          </m:sup>
          <m:e>
            <m:sSub>
              <m:sSubPr>
                <m:ctrlPr>
                  <w:rPr>
                    <w:rFonts w:ascii="Cambria Math" w:hAnsi="Cambria Math"/>
                  </w:rPr>
                </m:ctrlPr>
              </m:sSubPr>
              <m:e>
                <m:r>
                  <m:rPr>
                    <m:sty m:val="p"/>
                  </m:rPr>
                  <w:rPr>
                    <w:rFonts w:ascii="Cambria Math" w:hAnsi="Cambria Math"/>
                  </w:rPr>
                  <m:t>log⁡(A</m:t>
                </m:r>
              </m:e>
              <m:sub>
                <m:sSup>
                  <m:sSupPr>
                    <m:ctrlPr>
                      <w:rPr>
                        <w:rFonts w:ascii="Cambria Math" w:hAnsi="Cambria Math"/>
                      </w:rPr>
                    </m:ctrlPr>
                  </m:sSupPr>
                  <m:e>
                    <m:r>
                      <m:rPr>
                        <m:sty m:val="p"/>
                      </m:rPr>
                      <w:rPr>
                        <w:rFonts w:ascii="Cambria Math" w:hAnsi="Cambria Math"/>
                      </w:rPr>
                      <m:t>b</m:t>
                    </m:r>
                  </m:e>
                  <m:sup>
                    <m:r>
                      <m:rPr>
                        <m:sty m:val="p"/>
                      </m:rPr>
                      <w:rPr>
                        <w:rFonts w:ascii="Cambria Math" w:hAnsi="Cambria Math"/>
                      </w:rPr>
                      <m:t>'</m:t>
                    </m:r>
                  </m:sup>
                </m:sSup>
                <m:r>
                  <m:rPr>
                    <m:sty m:val="p"/>
                  </m:rPr>
                  <w:rPr>
                    <w:rFonts w:ascii="Cambria Math" w:hAnsi="Cambria Math"/>
                  </w:rPr>
                  <m:t>t</m:t>
                </m:r>
              </m:sub>
            </m:sSub>
            <m:r>
              <m:rPr>
                <m:sty m:val="p"/>
              </m:rPr>
              <w:rPr>
                <w:rFonts w:ascii="Cambria Math" w:hAnsi="Cambria Math"/>
              </w:rPr>
              <m:t>)</m:t>
            </m:r>
          </m:e>
        </m:nary>
      </m:oMath>
      <w:r w:rsidRPr="00181163">
        <w:rPr>
          <w:rFonts w:eastAsiaTheme="minorEastAsia"/>
        </w:rPr>
        <w:tab/>
        <w:t>(4)</w:t>
      </w:r>
    </w:p>
    <w:p w14:paraId="081AD5E1" w14:textId="77777777" w:rsidR="00AD7FF4" w:rsidRDefault="00AD7FF4" w:rsidP="007F1919">
      <w:pPr>
        <w:pStyle w:val="ListParagraph"/>
        <w:tabs>
          <w:tab w:val="center" w:pos="4590"/>
          <w:tab w:val="right" w:pos="9360"/>
        </w:tabs>
        <w:jc w:val="both"/>
        <w:rPr>
          <w:rFonts w:eastAsiaTheme="minorEastAsia"/>
        </w:rPr>
      </w:pPr>
    </w:p>
    <w:p w14:paraId="7F15EC84" w14:textId="6ADD988B" w:rsidR="007F1919" w:rsidRDefault="00ED76BD" w:rsidP="00ED76BD">
      <w:pPr>
        <w:pStyle w:val="ListParagraph"/>
        <w:rPr>
          <w:rFonts w:eastAsiaTheme="minorEastAsia"/>
        </w:rPr>
      </w:pPr>
      <w:r>
        <w:rPr>
          <w:rFonts w:eastAsiaTheme="minorEastAsia"/>
        </w:rPr>
        <w:t>to:</w:t>
      </w:r>
    </w:p>
    <w:p w14:paraId="7B24F7AE" w14:textId="77777777" w:rsidR="00AD7FF4" w:rsidRDefault="00AD7FF4" w:rsidP="007F1919">
      <w:pPr>
        <w:pStyle w:val="ListParagraph"/>
        <w:tabs>
          <w:tab w:val="center" w:pos="4590"/>
          <w:tab w:val="right" w:pos="9360"/>
        </w:tabs>
        <w:jc w:val="both"/>
        <w:rPr>
          <w:rFonts w:eastAsiaTheme="minorEastAsia"/>
        </w:rPr>
      </w:pPr>
    </w:p>
    <w:p w14:paraId="071F8DAD" w14:textId="7FE07C07" w:rsidR="007F1919" w:rsidRDefault="007F1919" w:rsidP="007F1919">
      <w:pPr>
        <w:pStyle w:val="ListParagraph"/>
        <w:tabs>
          <w:tab w:val="center" w:pos="4590"/>
          <w:tab w:val="right" w:pos="9360"/>
        </w:tabs>
        <w:rPr>
          <w:rFonts w:eastAsiaTheme="minorEastAsia"/>
        </w:rPr>
      </w:pPr>
      <w:r>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e>
                </m:d>
              </m:e>
            </m:func>
          </m:e>
        </m:func>
        <m:r>
          <m:rPr>
            <m:sty m:val="p"/>
          </m:rPr>
          <w:rPr>
            <w:rFonts w:ascii="Cambria Math" w:eastAsiaTheme="minorEastAsia" w:hAnsi="Cambria Math"/>
          </w:rPr>
          <m:t>=</m:t>
        </m:r>
        <m:limLow>
          <m:limLowPr>
            <m:ctrlPr>
              <w:rPr>
                <w:rFonts w:ascii="Cambria Math" w:hAnsi="Cambria Math"/>
              </w:rPr>
            </m:ctrlPr>
          </m:limLowPr>
          <m:e>
            <m:groupChr>
              <m:groupChrPr>
                <m:ctrlPr>
                  <w:rPr>
                    <w:rFonts w:ascii="Cambria Math" w:hAnsi="Cambria Math"/>
                  </w:rPr>
                </m:ctrlPr>
              </m:groupChrPr>
              <m:e>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nary>
                <m: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bt</m:t>
                    </m:r>
                  </m:sub>
                </m:sSub>
              </m:e>
            </m:groupChr>
          </m:e>
          <m:lim>
            <m:r>
              <w:rPr>
                <w:rFonts w:ascii="Cambria Math"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bt</m:t>
                        </m:r>
                      </m:sub>
                    </m:sSub>
                  </m:e>
                </m:d>
              </m:e>
            </m:func>
          </m:lim>
        </m:limLow>
        <m:r>
          <m:rPr>
            <m:sty m:val="p"/>
          </m:rPr>
          <w:rPr>
            <w:rFonts w:ascii="Cambria Math" w:eastAsiaTheme="minorEastAsia" w:hAnsi="Cambria Math"/>
          </w:rPr>
          <m:t>-</m:t>
        </m:r>
        <m:sSub>
          <m:sSubPr>
            <m:ctrlPr>
              <w:rPr>
                <w:rFonts w:ascii="Cambria Math" w:hAnsi="Cambria Math"/>
              </w:rPr>
            </m:ctrlPr>
          </m:sSubPr>
          <m:e>
            <m:r>
              <m:rPr>
                <m:sty m:val="p"/>
              </m:rPr>
              <w:rPr>
                <w:rFonts w:ascii="Cambria Math" w:hAnsi="Cambria Math"/>
              </w:rPr>
              <m:t>log⁡(A</m:t>
            </m:r>
          </m:e>
          <m:sub>
            <m:r>
              <m:rPr>
                <m:sty m:val="p"/>
              </m:rPr>
              <w:rPr>
                <w:rFonts w:ascii="Cambria Math" w:hAnsi="Cambria Math"/>
              </w:rPr>
              <m:t>Bt</m:t>
            </m:r>
          </m:sub>
        </m:sSub>
        <m:r>
          <w:rPr>
            <w:rFonts w:ascii="Cambria Math" w:hAnsi="Cambria Math"/>
          </w:rPr>
          <m:t>)</m:t>
        </m:r>
      </m:oMath>
      <w:r>
        <w:rPr>
          <w:rFonts w:eastAsiaTheme="minorEastAsia"/>
        </w:rPr>
        <w:tab/>
        <w:t>(5)</w:t>
      </w:r>
    </w:p>
    <w:p w14:paraId="608AD3ED" w14:textId="0838C358" w:rsidR="007F1919" w:rsidRDefault="004767B5" w:rsidP="007F1919">
      <w:pPr>
        <w:pStyle w:val="ListParagraph"/>
        <w:rPr>
          <w:rFonts w:eastAsiaTheme="minorEastAsia"/>
        </w:rPr>
      </w:pPr>
      <w:r>
        <w:rPr>
          <w:rFonts w:eastAsiaTheme="minorEastAsia"/>
        </w:rPr>
        <w:t>or, equivalently</w:t>
      </w:r>
    </w:p>
    <w:p w14:paraId="3845E6AE" w14:textId="77777777" w:rsidR="00920522" w:rsidRDefault="00920522" w:rsidP="007F1919">
      <w:pPr>
        <w:pStyle w:val="ListParagraph"/>
        <w:rPr>
          <w:rFonts w:eastAsiaTheme="minorEastAsia"/>
        </w:rPr>
      </w:pPr>
    </w:p>
    <w:p w14:paraId="7BE26B93" w14:textId="3F300451" w:rsidR="00920522" w:rsidRDefault="00920522" w:rsidP="00920522">
      <w:pPr>
        <w:pStyle w:val="ListParagraph"/>
        <w:tabs>
          <w:tab w:val="center" w:pos="4590"/>
          <w:tab w:val="right" w:pos="9360"/>
        </w:tabs>
        <w:rPr>
          <w:rFonts w:eastAsiaTheme="minorEastAsia"/>
        </w:rPr>
      </w:pPr>
      <w:r w:rsidRPr="00163A64">
        <w:rPr>
          <w:rFonts w:eastAsiaTheme="minorEastAsia"/>
        </w:rPr>
        <w:tab/>
      </w:r>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num>
                  <m:den>
                    <m:sSub>
                      <m:sSubPr>
                        <m:ctrlPr>
                          <w:rPr>
                            <w:rFonts w:ascii="Cambria Math" w:eastAsiaTheme="minorEastAsia" w:hAnsi="Cambria Math"/>
                          </w:rPr>
                        </m:ctrlPr>
                      </m:sSubPr>
                      <m:e>
                        <m:r>
                          <m:rPr>
                            <m:sty m:val="p"/>
                          </m:rPr>
                          <w:rPr>
                            <w:rFonts w:ascii="Cambria Math" w:eastAsiaTheme="minorEastAsia" w:hAnsi="Cambria Math"/>
                          </w:rPr>
                          <m:t>s</m:t>
                        </m:r>
                      </m:e>
                      <m:sub>
                        <m:r>
                          <m:rPr>
                            <m:sty m:val="p"/>
                          </m:rPr>
                          <w:rPr>
                            <w:rFonts w:ascii="Cambria Math" w:eastAsiaTheme="minorEastAsia" w:hAnsi="Cambria Math"/>
                          </w:rPr>
                          <m:t>Bt</m:t>
                        </m:r>
                      </m:sub>
                    </m:sSub>
                  </m:den>
                </m:f>
              </m:e>
            </m:d>
          </m:e>
        </m:func>
        <m:r>
          <m:rPr>
            <m:sty m:val="p"/>
          </m:rPr>
          <w:rPr>
            <w:rFonts w:ascii="Cambria Math" w:eastAsiaTheme="minorEastAsia" w:hAnsi="Cambria Math"/>
          </w:rPr>
          <m:t>=</m:t>
        </m:r>
        <m:nary>
          <m:naryPr>
            <m:chr m:val="∑"/>
            <m:limLoc m:val="subSup"/>
            <m:ctrlPr>
              <w:rPr>
                <w:rFonts w:ascii="Cambria Math" w:hAnsi="Cambria Math"/>
              </w:rPr>
            </m:ctrlPr>
          </m:naryPr>
          <m:sub>
            <m:r>
              <m:rPr>
                <m:sty m:val="p"/>
              </m:rPr>
              <w:rPr>
                <w:rFonts w:ascii="Cambria Math" w:hAnsi="Cambria Math"/>
              </w:rPr>
              <m:t>y=1</m:t>
            </m:r>
          </m:sub>
          <m:sup>
            <m:r>
              <m:rPr>
                <m:sty m:val="p"/>
              </m:rPr>
              <w:rPr>
                <w:rFonts w:ascii="Cambria Math" w:hAnsi="Cambria Math"/>
              </w:rPr>
              <m:t>Y</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By</m:t>
                    </m:r>
                  </m:sub>
                </m:sSub>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K</m:t>
            </m:r>
          </m:sup>
          <m:e>
            <m:d>
              <m:dPr>
                <m:ctrlPr>
                  <w:rPr>
                    <w:rFonts w:ascii="Cambria Math" w:hAnsi="Cambria Math"/>
                    <w:i/>
                  </w:rPr>
                </m:ctrlPr>
              </m:dPr>
              <m:e>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Bkt</m:t>
                    </m:r>
                  </m:sub>
                </m:sSub>
              </m:e>
            </m:d>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l=1</m:t>
            </m:r>
          </m:sub>
          <m:sup>
            <m:r>
              <m:rPr>
                <m:sty m:val="p"/>
              </m:rPr>
              <w:rPr>
                <w:rFonts w:ascii="Cambria Math" w:hAnsi="Cambria Math"/>
              </w:rPr>
              <m:t>L</m:t>
            </m:r>
          </m:sup>
          <m:e>
            <m:sSub>
              <m:sSubPr>
                <m:ctrlPr>
                  <w:rPr>
                    <w:rFonts w:ascii="Cambria Math" w:hAnsi="Cambria Math"/>
                  </w:rPr>
                </m:ctrlPr>
              </m:sSubPr>
              <m:e>
                <m:r>
                  <m:rPr>
                    <m:sty m:val="p"/>
                  </m:rPr>
                  <w:rPr>
                    <w:rFonts w:ascii="Cambria Math" w:hAnsi="Cambria Math"/>
                  </w:rPr>
                  <m:t>γ</m:t>
                </m:r>
              </m:e>
              <m:sub>
                <m:r>
                  <m:rPr>
                    <m:sty m:val="p"/>
                  </m:rPr>
                  <w:rPr>
                    <w:rFonts w:ascii="Cambria Math" w:hAnsi="Cambria Math"/>
                  </w:rPr>
                  <m:t>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Bl</m:t>
                </m:r>
              </m:sub>
            </m:sSub>
            <m:r>
              <m:rPr>
                <m:sty m:val="p"/>
              </m:rPr>
              <w:rPr>
                <w:rFonts w:ascii="Cambria Math" w:hAnsi="Cambria Math"/>
              </w:rPr>
              <m:t>)</m:t>
            </m:r>
          </m:e>
        </m:nary>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p"/>
                  </m:rPr>
                  <w:rPr>
                    <w:rFonts w:ascii="Cambria Math" w:hAnsi="Cambria Math"/>
                  </w:rPr>
                  <m:t>ϵ</m:t>
                </m:r>
              </m:e>
            </m:acc>
          </m:e>
          <m:sub>
            <m:r>
              <m:rPr>
                <m:sty m:val="p"/>
              </m:rPr>
              <w:rPr>
                <w:rFonts w:ascii="Cambria Math" w:hAnsi="Cambria Math"/>
              </w:rPr>
              <m:t>bt</m:t>
            </m:r>
          </m:sub>
        </m:sSub>
      </m:oMath>
      <w:r>
        <w:rPr>
          <w:rFonts w:eastAsiaTheme="minorEastAsia"/>
        </w:rPr>
        <w:tab/>
        <w:t>(</w:t>
      </w:r>
      <w:r w:rsidR="00A67C05">
        <w:rPr>
          <w:rFonts w:eastAsiaTheme="minorEastAsia"/>
        </w:rPr>
        <w:t>6</w:t>
      </w:r>
      <w:r>
        <w:rPr>
          <w:rFonts w:eastAsiaTheme="minorEastAsia"/>
        </w:rPr>
        <w:t>)</w:t>
      </w:r>
    </w:p>
    <w:p w14:paraId="2BFF2377" w14:textId="77777777" w:rsidR="004767B5" w:rsidRDefault="004767B5" w:rsidP="007F1919">
      <w:pPr>
        <w:pStyle w:val="ListParagraph"/>
        <w:rPr>
          <w:rFonts w:eastAsiaTheme="minorEastAsia"/>
        </w:rPr>
      </w:pPr>
    </w:p>
    <w:p w14:paraId="11C3C08C" w14:textId="42A62B6A" w:rsidR="00D973EF" w:rsidRDefault="005E5051" w:rsidP="00192FD9">
      <w:pPr>
        <w:pStyle w:val="ListParagraph"/>
        <w:tabs>
          <w:tab w:val="center" w:pos="4590"/>
          <w:tab w:val="right" w:pos="9360"/>
        </w:tabs>
        <w:jc w:val="both"/>
        <w:rPr>
          <w:rFonts w:eastAsiaTheme="minorEastAsia"/>
        </w:rPr>
      </w:pPr>
      <w:r>
        <w:rPr>
          <w:rFonts w:eastAsiaTheme="minorEastAsia"/>
        </w:rPr>
        <w:tab/>
      </w:r>
      <w:r w:rsidR="00F56850">
        <w:rPr>
          <w:rFonts w:eastAsiaTheme="minorEastAsia"/>
        </w:rPr>
        <w:t xml:space="preserve">for all </w:t>
      </w:r>
      <m:oMath>
        <m:r>
          <w:rPr>
            <w:rFonts w:ascii="Cambria Math" w:eastAsiaTheme="minorEastAsia" w:hAnsi="Cambria Math"/>
          </w:rPr>
          <m:t>b∈{1,…B-1}</m:t>
        </m:r>
      </m:oMath>
      <w:r w:rsidR="00F56850">
        <w:rPr>
          <w:rFonts w:eastAsiaTheme="minorEastAsia"/>
        </w:rPr>
        <w:t>. Note that this sytem contains B-1 eq</w:t>
      </w:r>
      <w:r w:rsidR="0092403C">
        <w:rPr>
          <w:rFonts w:eastAsiaTheme="minorEastAsia"/>
        </w:rPr>
        <w:t xml:space="preserve">uations, and that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b=B</m:t>
            </m:r>
            <m:r>
              <m:rPr>
                <m:sty m:val="p"/>
              </m:rPr>
              <w:rPr>
                <w:rFonts w:ascii="Cambria Math" w:hAnsi="Cambria Math"/>
              </w:rPr>
              <m:t>,y</m:t>
            </m:r>
          </m:sub>
        </m:sSub>
      </m:oMath>
      <w:r w:rsidR="0092403C">
        <w:rPr>
          <w:rFonts w:eastAsiaTheme="minorEastAsia"/>
        </w:rPr>
        <w:t xml:space="preserve"> is set to zero for </w:t>
      </w:r>
      <w:r w:rsidR="00192FD9">
        <w:rPr>
          <w:rFonts w:eastAsiaTheme="minorEastAsia"/>
        </w:rPr>
        <w:t xml:space="preserve">all years. </w:t>
      </w:r>
      <w:r w:rsidR="00D873B3">
        <w:rPr>
          <w:rFonts w:eastAsiaTheme="minorEastAsia"/>
        </w:rPr>
        <w:t xml:space="preserve">Estimation either via SUR, or </w:t>
      </w:r>
      <w:r w:rsidR="00B8037D">
        <w:rPr>
          <w:rFonts w:eastAsiaTheme="minorEastAsia"/>
        </w:rPr>
        <w:t>Maximum Likelihood (better for model extensions</w:t>
      </w:r>
      <w:r w:rsidR="00E443BF">
        <w:rPr>
          <w:rFonts w:eastAsiaTheme="minorEastAsia"/>
        </w:rPr>
        <w:t>, see below</w:t>
      </w:r>
      <w:r w:rsidR="00B8037D">
        <w:rPr>
          <w:rFonts w:eastAsiaTheme="minorEastAsia"/>
        </w:rPr>
        <w:t>)</w:t>
      </w:r>
      <w:r w:rsidR="00D873B3">
        <w:rPr>
          <w:rFonts w:eastAsiaTheme="minorEastAsia"/>
        </w:rPr>
        <w:t>.</w:t>
      </w:r>
    </w:p>
    <w:p w14:paraId="7BDC4D42" w14:textId="59D4B582" w:rsidR="00192FD9" w:rsidRDefault="00192FD9" w:rsidP="00192FD9">
      <w:pPr>
        <w:rPr>
          <w:rFonts w:eastAsiaTheme="minorEastAsia"/>
          <w:b/>
          <w:u w:val="single"/>
        </w:rPr>
      </w:pPr>
      <w:r w:rsidRPr="00192FD9">
        <w:rPr>
          <w:rFonts w:eastAsiaTheme="minorEastAsia"/>
          <w:b/>
          <w:u w:val="single"/>
        </w:rPr>
        <w:t>Computation of SBBE</w:t>
      </w:r>
    </w:p>
    <w:p w14:paraId="755C606B" w14:textId="3AF96871" w:rsidR="00701D46" w:rsidRDefault="00701D46" w:rsidP="00052C3C">
      <w:pPr>
        <w:pStyle w:val="ListParagraph"/>
        <w:numPr>
          <w:ilvl w:val="0"/>
          <w:numId w:val="12"/>
        </w:numPr>
        <w:rPr>
          <w:rFonts w:eastAsiaTheme="minorEastAsia"/>
        </w:rPr>
      </w:pPr>
      <w:r>
        <w:rPr>
          <w:rFonts w:eastAsiaTheme="minorEastAsia"/>
        </w:rPr>
        <w:t>Sriram et al. (2007) ensures identification by setting α</w:t>
      </w:r>
      <w:r w:rsidRPr="00701D46">
        <w:rPr>
          <w:rFonts w:eastAsiaTheme="minorEastAsia"/>
          <w:vertAlign w:val="subscript"/>
        </w:rPr>
        <w:t>By</w:t>
      </w:r>
      <w:r>
        <w:rPr>
          <w:rFonts w:eastAsiaTheme="minorEastAsia"/>
          <w:vertAlign w:val="subscript"/>
        </w:rPr>
        <w:t xml:space="preserve"> </w:t>
      </w:r>
      <w:r>
        <w:rPr>
          <w:rFonts w:eastAsiaTheme="minorEastAsia"/>
        </w:rPr>
        <w:t>to zero for the store brand.</w:t>
      </w:r>
    </w:p>
    <w:p w14:paraId="5B3EB5D0" w14:textId="77777777" w:rsidR="00701D46" w:rsidRDefault="00701D46" w:rsidP="00701D46">
      <w:pPr>
        <w:pStyle w:val="ListParagraph"/>
        <w:numPr>
          <w:ilvl w:val="1"/>
          <w:numId w:val="12"/>
        </w:numPr>
        <w:rPr>
          <w:rFonts w:eastAsiaTheme="minorEastAsia"/>
        </w:rPr>
      </w:pPr>
      <w:r>
        <w:rPr>
          <w:rFonts w:eastAsiaTheme="minorEastAsia"/>
        </w:rPr>
        <w:t>“[The coefficient]” measures the incremental utility of a brand with respect to the store brand”</w:t>
      </w:r>
    </w:p>
    <w:p w14:paraId="1947AA22" w14:textId="42C02713" w:rsidR="00701D46" w:rsidRDefault="00701D46" w:rsidP="00701D46">
      <w:pPr>
        <w:pStyle w:val="ListParagraph"/>
        <w:numPr>
          <w:ilvl w:val="1"/>
          <w:numId w:val="12"/>
        </w:numPr>
        <w:rPr>
          <w:rFonts w:eastAsiaTheme="minorEastAsia"/>
        </w:rPr>
      </w:pPr>
      <w:r>
        <w:rPr>
          <w:rFonts w:eastAsiaTheme="minorEastAsia"/>
        </w:rPr>
        <w:t xml:space="preserve">Further, the authors </w:t>
      </w:r>
      <w:r w:rsidR="00424FF9">
        <w:rPr>
          <w:rFonts w:eastAsiaTheme="minorEastAsia"/>
        </w:rPr>
        <w:t>make explicit that the coefficient need to be interpreted relative to the store brand’s BV in a given year, see on p. 64:</w:t>
      </w:r>
    </w:p>
    <w:p w14:paraId="47780490" w14:textId="77777777" w:rsidR="00701D46" w:rsidRDefault="00701D46" w:rsidP="00701D46">
      <w:pPr>
        <w:pStyle w:val="ListParagraph"/>
        <w:ind w:left="1440"/>
        <w:rPr>
          <w:rFonts w:eastAsiaTheme="minorEastAsia"/>
        </w:rPr>
      </w:pPr>
    </w:p>
    <w:p w14:paraId="504414DE" w14:textId="6D56A4FA" w:rsidR="00192FD9" w:rsidRDefault="00701D46" w:rsidP="00701D46">
      <w:pPr>
        <w:pStyle w:val="ListParagraph"/>
        <w:ind w:left="1440"/>
        <w:rPr>
          <w:rFonts w:eastAsiaTheme="minorEastAsia"/>
        </w:rPr>
      </w:pPr>
      <w:r w:rsidRPr="00701D46">
        <w:rPr>
          <w:rFonts w:eastAsiaTheme="minorEastAsia"/>
          <w:noProof/>
        </w:rPr>
        <w:drawing>
          <wp:inline distT="0" distB="0" distL="0" distR="0" wp14:anchorId="79CE74A5" wp14:editId="346B2607">
            <wp:extent cx="349377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3770" cy="1647825"/>
                    </a:xfrm>
                    <a:prstGeom prst="rect">
                      <a:avLst/>
                    </a:prstGeom>
                    <a:noFill/>
                    <a:ln>
                      <a:noFill/>
                    </a:ln>
                  </pic:spPr>
                </pic:pic>
              </a:graphicData>
            </a:graphic>
          </wp:inline>
        </w:drawing>
      </w:r>
      <w:r>
        <w:rPr>
          <w:rFonts w:eastAsiaTheme="minorEastAsia"/>
        </w:rPr>
        <w:t xml:space="preserve"> </w:t>
      </w:r>
    </w:p>
    <w:p w14:paraId="482037F1" w14:textId="77777777" w:rsidR="00701D46" w:rsidRPr="00701D46" w:rsidRDefault="00701D46" w:rsidP="00701D46">
      <w:pPr>
        <w:pStyle w:val="ListParagraph"/>
        <w:rPr>
          <w:rFonts w:eastAsiaTheme="minorEastAsia"/>
        </w:rPr>
      </w:pPr>
    </w:p>
    <w:p w14:paraId="7C082D74" w14:textId="5D570E52" w:rsidR="00052C3C" w:rsidRDefault="00701D46" w:rsidP="006C2B46">
      <w:pPr>
        <w:pStyle w:val="ListParagraph"/>
        <w:ind w:left="1440"/>
        <w:rPr>
          <w:rFonts w:eastAsiaTheme="minorEastAsia"/>
        </w:rPr>
      </w:pPr>
      <w:r>
        <w:rPr>
          <w:rFonts w:eastAsiaTheme="minorEastAsia"/>
        </w:rPr>
        <w:t xml:space="preserve">This confirms our intuition that </w:t>
      </w:r>
      <w:r w:rsidR="00315DA1">
        <w:rPr>
          <w:rFonts w:eastAsiaTheme="minorEastAsia"/>
        </w:rPr>
        <w:t xml:space="preserve">the retrieved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α</m:t>
                </m:r>
              </m:e>
            </m:acc>
          </m:e>
          <m:sub>
            <m:r>
              <w:rPr>
                <w:rFonts w:ascii="Cambria Math" w:eastAsiaTheme="minorEastAsia" w:hAnsi="Cambria Math"/>
              </w:rPr>
              <m:t>by</m:t>
            </m:r>
          </m:sub>
        </m:sSub>
      </m:oMath>
      <w:r w:rsidR="005368AE">
        <w:rPr>
          <w:rFonts w:eastAsiaTheme="minorEastAsia"/>
        </w:rPr>
        <w:t xml:space="preserve"> are to be interpreted as SBBE for the focal brand in year y, relative to “an identical variant offered with an identical marketing mix by the store brand in that [year]” (Sriram et al. 2007, p. 64)</w:t>
      </w:r>
    </w:p>
    <w:p w14:paraId="6FCD4B75" w14:textId="77777777" w:rsidR="006C2B46" w:rsidRDefault="006C2B46" w:rsidP="006C2B46">
      <w:pPr>
        <w:pStyle w:val="ListParagraph"/>
        <w:ind w:left="1440"/>
        <w:rPr>
          <w:rFonts w:eastAsiaTheme="minorEastAsia"/>
        </w:rPr>
      </w:pPr>
    </w:p>
    <w:p w14:paraId="76DB21FA" w14:textId="3DD43A96" w:rsidR="00E23DCE" w:rsidRDefault="00E23DCE" w:rsidP="00192FD9">
      <w:pPr>
        <w:pStyle w:val="ListParagraph"/>
        <w:numPr>
          <w:ilvl w:val="1"/>
          <w:numId w:val="12"/>
        </w:numPr>
        <w:rPr>
          <w:rFonts w:eastAsiaTheme="minorEastAsia"/>
        </w:rPr>
      </w:pPr>
      <w:r>
        <w:rPr>
          <w:rFonts w:eastAsiaTheme="minorEastAsia"/>
        </w:rPr>
        <w:t>Harald mentions that “a rank order of brands in terms of BV is not necessarily the same as a rank order of brands in terms of market share”; this statement is not to be interpreted as “market share” (as retrieved by exp(x)/(1+exp(x)), but as the “raw” market share in the data. The transformation, see above, is “monotonic”, so ranking in terms of BV or predicted market share</w:t>
      </w:r>
      <w:r w:rsidR="002D4ADB">
        <w:rPr>
          <w:rFonts w:eastAsiaTheme="minorEastAsia"/>
        </w:rPr>
        <w:t xml:space="preserve"> must yield the same rank ordering.</w:t>
      </w:r>
    </w:p>
    <w:p w14:paraId="38EA18D1" w14:textId="77777777" w:rsidR="00A76C8F" w:rsidRPr="00A76C8F" w:rsidRDefault="00A76C8F" w:rsidP="00A76C8F">
      <w:pPr>
        <w:pStyle w:val="ListParagraph"/>
        <w:rPr>
          <w:rFonts w:eastAsiaTheme="minorEastAsia"/>
        </w:rPr>
      </w:pPr>
    </w:p>
    <w:p w14:paraId="6FDF5DF4" w14:textId="791F57FE" w:rsidR="00080540" w:rsidRPr="00080540" w:rsidRDefault="00A76C8F" w:rsidP="00080540">
      <w:pPr>
        <w:pStyle w:val="ListParagraph"/>
        <w:numPr>
          <w:ilvl w:val="0"/>
          <w:numId w:val="12"/>
        </w:numPr>
        <w:rPr>
          <w:rFonts w:eastAsiaTheme="minorEastAsia"/>
        </w:rPr>
      </w:pPr>
      <w:r>
        <w:rPr>
          <w:rFonts w:eastAsiaTheme="minorEastAsia"/>
        </w:rPr>
        <w:t>Following Kamakura and Russel (1993), we can scale all N intercepts so that they su</w:t>
      </w:r>
      <w:r w:rsidR="008D4B61">
        <w:rPr>
          <w:rFonts w:eastAsiaTheme="minorEastAsia"/>
        </w:rPr>
        <w:t>m to zero across all brands (see p. 17, note in Table 3).</w:t>
      </w:r>
      <w:r w:rsidR="006F782C">
        <w:rPr>
          <w:rFonts w:eastAsiaTheme="minorEastAsia"/>
        </w:rPr>
        <w:t xml:space="preserve"> </w:t>
      </w:r>
    </w:p>
    <w:p w14:paraId="3B2EE8D6" w14:textId="77777777" w:rsidR="00192FD9" w:rsidRDefault="00192FD9" w:rsidP="00D973EF">
      <w:pPr>
        <w:ind w:firstLine="720"/>
        <w:rPr>
          <w:rFonts w:eastAsiaTheme="minorEastAsia"/>
        </w:rPr>
      </w:pPr>
    </w:p>
    <w:p w14:paraId="2F1439F9" w14:textId="427FAFD2" w:rsidR="00302F2C" w:rsidRPr="00302F2C" w:rsidRDefault="00302F2C" w:rsidP="00302F2C">
      <w:pPr>
        <w:rPr>
          <w:rFonts w:eastAsiaTheme="minorEastAsia"/>
          <w:b/>
          <w:u w:val="single"/>
        </w:rPr>
      </w:pPr>
      <w:r w:rsidRPr="00302F2C">
        <w:rPr>
          <w:rFonts w:eastAsiaTheme="minorEastAsia"/>
          <w:b/>
          <w:u w:val="single"/>
        </w:rPr>
        <w:t>Extensions</w:t>
      </w:r>
      <w:r w:rsidR="0094481E">
        <w:rPr>
          <w:rFonts w:eastAsiaTheme="minorEastAsia"/>
          <w:b/>
          <w:u w:val="single"/>
        </w:rPr>
        <w:t xml:space="preserve"> to include CBBE</w:t>
      </w:r>
      <w:bookmarkStart w:id="0" w:name="_GoBack"/>
      <w:bookmarkEnd w:id="0"/>
    </w:p>
    <w:p w14:paraId="3600DC13" w14:textId="7BBDB652" w:rsidR="00FF22DB" w:rsidRDefault="00FF22DB" w:rsidP="00FF22DB">
      <w:pPr>
        <w:pStyle w:val="ListParagraph"/>
        <w:numPr>
          <w:ilvl w:val="0"/>
          <w:numId w:val="1"/>
        </w:numPr>
        <w:rPr>
          <w:rFonts w:eastAsiaTheme="minorEastAsia"/>
        </w:rPr>
      </w:pPr>
      <w:r w:rsidRPr="00A353B6">
        <w:rPr>
          <w:rFonts w:eastAsiaTheme="minorEastAsia"/>
        </w:rPr>
        <w:t xml:space="preserve">In a later stage, we can make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b, y=1</m:t>
            </m:r>
          </m:sub>
        </m:sSub>
      </m:oMath>
      <w:r w:rsidR="00313DC2" w:rsidRPr="00A353B6">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bky</m:t>
            </m:r>
          </m:sub>
        </m:sSub>
      </m:oMath>
      <w:r w:rsidR="00313DC2" w:rsidRPr="00A353B6">
        <w:rPr>
          <w:rFonts w:eastAsiaTheme="minorEastAsia"/>
        </w:rPr>
        <w:t xml:space="preserve"> a function of CBBE</w:t>
      </w:r>
      <w:r w:rsidR="00C764C4" w:rsidRPr="00A353B6">
        <w:rPr>
          <w:rFonts w:eastAsiaTheme="minorEastAsia"/>
        </w:rPr>
        <w:t xml:space="preserve"> instead of estimating dummy</w:t>
      </w:r>
      <w:r w:rsidR="00C764C4">
        <w:rPr>
          <w:rFonts w:eastAsiaTheme="minorEastAsia"/>
        </w:rPr>
        <w:t xml:space="preserve"> variables</w:t>
      </w:r>
      <w:r w:rsidR="00313DC2">
        <w:rPr>
          <w:rFonts w:eastAsiaTheme="minorEastAsia"/>
        </w:rPr>
        <w:t>, e.g.</w:t>
      </w:r>
    </w:p>
    <w:p w14:paraId="5A079DD7" w14:textId="1A64CC9C" w:rsidR="00313DC2" w:rsidRPr="00BC41A7" w:rsidRDefault="00302F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hAnsi="Cambria Math"/>
              </w:rPr>
              <m:t>b</m:t>
            </m:r>
            <m:r>
              <m:rPr>
                <m:sty m:val="p"/>
              </m:rPr>
              <w:rPr>
                <w:rFonts w:ascii="Cambria Math" w:eastAsiaTheme="minorEastAsia" w:hAnsi="Cambria Math"/>
              </w:rPr>
              <m:t>y</m:t>
            </m:r>
          </m:sub>
        </m:sSub>
      </m:oMath>
      <w:r w:rsidRPr="00BC41A7">
        <w:rPr>
          <w:rFonts w:eastAsiaTheme="minorEastAsia"/>
        </w:rPr>
        <w:tab/>
        <w:t>(</w:t>
      </w:r>
      <w:r w:rsidR="00C764C4">
        <w:rPr>
          <w:rFonts w:eastAsiaTheme="minorEastAsia"/>
        </w:rPr>
        <w:t>7</w:t>
      </w:r>
      <w:r w:rsidRPr="00BC41A7">
        <w:rPr>
          <w:rFonts w:eastAsiaTheme="minorEastAsia"/>
        </w:rPr>
        <w:t>)</w:t>
      </w:r>
    </w:p>
    <w:p w14:paraId="713F323F" w14:textId="6A762B80" w:rsidR="00603C69" w:rsidRPr="00BC41A7" w:rsidRDefault="00302F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oMath>
      <w:r w:rsidRPr="00BC41A7">
        <w:rPr>
          <w:rFonts w:eastAsiaTheme="minorEastAsia"/>
        </w:rPr>
        <w:tab/>
        <w:t>(9)</w:t>
      </w:r>
    </w:p>
    <w:p w14:paraId="20777F5E" w14:textId="77777777" w:rsidR="00866981" w:rsidRPr="009A0260" w:rsidRDefault="00866981" w:rsidP="00866981">
      <w:pPr>
        <w:pStyle w:val="ListParagraph"/>
        <w:rPr>
          <w:rFonts w:eastAsiaTheme="minorEastAsia"/>
        </w:rPr>
      </w:pPr>
    </w:p>
    <w:p w14:paraId="235E02F4" w14:textId="45A4A22A" w:rsidR="00866981" w:rsidRPr="001D7FA0" w:rsidRDefault="00B537FC" w:rsidP="00313DC2">
      <w:pPr>
        <w:pStyle w:val="ListParagraph"/>
        <w:rPr>
          <w:rFonts w:eastAsiaTheme="minorEastAsia"/>
        </w:rPr>
      </w:pPr>
      <w:r w:rsidRPr="001D7FA0">
        <w:rPr>
          <w:rFonts w:eastAsiaTheme="minorEastAsia"/>
        </w:rPr>
        <w:t>For identification, α</w:t>
      </w:r>
      <w:r w:rsidRPr="001D7FA0">
        <w:rPr>
          <w:rFonts w:eastAsiaTheme="minorEastAsia"/>
          <w:vertAlign w:val="subscript"/>
        </w:rPr>
        <w:t>0,</w:t>
      </w:r>
      <w:r w:rsidR="001D7FA0" w:rsidRPr="001D7FA0">
        <w:rPr>
          <w:rFonts w:eastAsiaTheme="minorEastAsia"/>
          <w:vertAlign w:val="subscript"/>
        </w:rPr>
        <w:t>b</w:t>
      </w:r>
      <w:r w:rsidRPr="001D7FA0">
        <w:rPr>
          <w:rFonts w:eastAsiaTheme="minorEastAsia"/>
          <w:vertAlign w:val="subscript"/>
        </w:rPr>
        <w:t>=1</w:t>
      </w:r>
      <w:r w:rsidR="00572980" w:rsidRPr="001D7FA0">
        <w:rPr>
          <w:rFonts w:eastAsiaTheme="minorEastAsia"/>
          <w:vertAlign w:val="subscript"/>
        </w:rPr>
        <w:t>,y=1</w:t>
      </w:r>
      <w:r w:rsidRPr="001D7FA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k0,b=1</m:t>
            </m:r>
          </m:sub>
        </m:sSub>
      </m:oMath>
      <w:r w:rsidRPr="001D7FA0">
        <w:rPr>
          <w:rFonts w:eastAsiaTheme="minorEastAsia"/>
        </w:rPr>
        <w:t xml:space="preserve"> are set to zero.</w:t>
      </w:r>
    </w:p>
    <w:p w14:paraId="68A42141" w14:textId="77777777" w:rsidR="00302F2C" w:rsidRPr="009A0260" w:rsidRDefault="00302F2C" w:rsidP="00313DC2">
      <w:pPr>
        <w:pStyle w:val="ListParagraph"/>
        <w:rPr>
          <w:rFonts w:eastAsiaTheme="minorEastAsia"/>
        </w:rPr>
      </w:pPr>
    </w:p>
    <w:p w14:paraId="7B9CB9EA" w14:textId="77777777" w:rsidR="00302F2C" w:rsidRPr="009A0260" w:rsidRDefault="00302F2C" w:rsidP="00F86458">
      <w:pPr>
        <w:pStyle w:val="ListParagraph"/>
        <w:numPr>
          <w:ilvl w:val="0"/>
          <w:numId w:val="1"/>
        </w:numPr>
        <w:rPr>
          <w:rFonts w:eastAsiaTheme="minorEastAsia"/>
        </w:rPr>
      </w:pPr>
      <w:r w:rsidRPr="009A0260">
        <w:rPr>
          <w:rFonts w:eastAsiaTheme="minorEastAsia"/>
        </w:rPr>
        <w:t xml:space="preserve">Alternatively, a HLM model can be obtained by adding random components to </w:t>
      </w:r>
      <m:oMath>
        <m:sSub>
          <m:sSubPr>
            <m:ctrlPr>
              <w:rPr>
                <w:rFonts w:ascii="Cambria Math" w:hAnsi="Cambria Math"/>
              </w:rPr>
            </m:ctrlPr>
          </m:sSubPr>
          <m:e>
            <m:r>
              <m:rPr>
                <m:sty m:val="p"/>
              </m:rPr>
              <w:rPr>
                <w:rFonts w:ascii="Cambria Math" w:hAnsi="Cambria Math"/>
              </w:rPr>
              <m:t>α</m:t>
            </m:r>
          </m:e>
          <m:sub>
            <m:r>
              <m:rPr>
                <m:sty m:val="p"/>
              </m:rPr>
              <w:rPr>
                <w:rFonts w:ascii="Cambria Math" w:hAnsi="Cambria Math"/>
              </w:rPr>
              <m:t>j</m:t>
            </m:r>
          </m:sub>
        </m:sSub>
      </m:oMath>
      <w:r w:rsidRPr="009A0260">
        <w:rPr>
          <w:rFonts w:eastAsiaTheme="minorEastAsia"/>
        </w:rPr>
        <w:t xml:space="preserve"> and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bk</m:t>
            </m:r>
          </m:sub>
        </m:sSub>
      </m:oMath>
      <w:r w:rsidRPr="009A0260">
        <w:rPr>
          <w:rFonts w:eastAsiaTheme="minorEastAsia"/>
        </w:rPr>
        <w:t xml:space="preserve"> in (8) and (9)</w:t>
      </w:r>
    </w:p>
    <w:p w14:paraId="2F2EDC9B" w14:textId="2B68673D" w:rsidR="006E6A2C" w:rsidRPr="00BC41A7" w:rsidRDefault="006E6A2C" w:rsidP="006E6A2C">
      <w:pPr>
        <w:pStyle w:val="ListParagraph"/>
        <w:tabs>
          <w:tab w:val="center" w:pos="4590"/>
          <w:tab w:val="right" w:pos="9360"/>
        </w:tabs>
        <w:rPr>
          <w:rFonts w:eastAsiaTheme="minorEastAsia"/>
        </w:rPr>
      </w:pPr>
      <w:r>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α</m:t>
            </m:r>
          </m:e>
          <m:sub>
            <m:r>
              <m:rPr>
                <m:sty m:val="p"/>
              </m:rPr>
              <w:rPr>
                <w:rFonts w:ascii="Cambria Math" w:eastAsiaTheme="minorEastAsia" w:hAnsi="Cambria Math"/>
              </w:rPr>
              <m:t>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hAnsi="Cambria Math"/>
              </w:rPr>
              <m:t>b</m:t>
            </m:r>
            <m:r>
              <m:rPr>
                <m:sty m:val="p"/>
              </m:rPr>
              <w:rPr>
                <w:rFonts w:ascii="Cambria Math" w:eastAsiaTheme="minorEastAsia" w:hAnsi="Cambria Math"/>
              </w:rPr>
              <m:t>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b</m:t>
            </m:r>
          </m:sub>
        </m:sSub>
      </m:oMath>
      <w:r w:rsidRPr="00BC41A7">
        <w:rPr>
          <w:rFonts w:eastAsiaTheme="minorEastAsia"/>
        </w:rPr>
        <w:tab/>
        <w:t>(</w:t>
      </w:r>
      <w:r>
        <w:rPr>
          <w:rFonts w:eastAsiaTheme="minorEastAsia"/>
        </w:rPr>
        <w:t>10</w:t>
      </w:r>
      <w:r w:rsidRPr="00BC41A7">
        <w:rPr>
          <w:rFonts w:eastAsiaTheme="minorEastAsia"/>
        </w:rPr>
        <w:t>)</w:t>
      </w:r>
    </w:p>
    <w:p w14:paraId="6571916E" w14:textId="002AF087" w:rsidR="00302F2C" w:rsidRPr="009A0260" w:rsidRDefault="006E6A2C" w:rsidP="00302F2C">
      <w:pPr>
        <w:pStyle w:val="ListParagraph"/>
        <w:tabs>
          <w:tab w:val="center" w:pos="4590"/>
          <w:tab w:val="right" w:pos="9360"/>
        </w:tabs>
        <w:rPr>
          <w:rFonts w:eastAsiaTheme="minorEastAsia"/>
        </w:rPr>
      </w:pPr>
      <w:r w:rsidRPr="00BC41A7">
        <w:rPr>
          <w:rFonts w:eastAsiaTheme="minorEastAsia"/>
        </w:rPr>
        <w:tab/>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bky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k0,</m:t>
            </m:r>
            <m:r>
              <m:rPr>
                <m:sty m:val="p"/>
              </m:rPr>
              <w:rPr>
                <w:rFonts w:ascii="Cambria Math"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k1</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1</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k2</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2</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k3</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3</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e>
          <m:sub>
            <m:r>
              <m:rPr>
                <m:sty m:val="p"/>
              </m:rPr>
              <w:rPr>
                <w:rFonts w:ascii="Cambria Math" w:eastAsiaTheme="minorEastAsia" w:hAnsi="Cambria Math"/>
              </w:rPr>
              <m:t>k4</m:t>
            </m:r>
          </m:sub>
        </m:sSub>
        <m:r>
          <m:rPr>
            <m:sty m:val="p"/>
          </m:rPr>
          <w:rPr>
            <w:rFonts w:ascii="Cambria Math" w:eastAsiaTheme="minorEastAsia" w:hAnsi="Cambria Math"/>
          </w:rPr>
          <m:t>Dim</m:t>
        </m:r>
        <m:sSub>
          <m:sSubPr>
            <m:ctrlPr>
              <w:rPr>
                <w:rFonts w:ascii="Cambria Math" w:eastAsiaTheme="minorEastAsia" w:hAnsi="Cambria Math"/>
              </w:rPr>
            </m:ctrlPr>
          </m:sSubPr>
          <m:e>
            <m:r>
              <m:rPr>
                <m:sty m:val="p"/>
              </m:rPr>
              <w:rPr>
                <w:rFonts w:ascii="Cambria Math" w:eastAsiaTheme="minorEastAsia" w:hAnsi="Cambria Math"/>
              </w:rPr>
              <m:t>4</m:t>
            </m:r>
          </m:e>
          <m:sub>
            <m:r>
              <m:rPr>
                <m:sty m:val="p"/>
              </m:rPr>
              <w:rPr>
                <w:rFonts w:ascii="Cambria Math" w:eastAsiaTheme="minorEastAsia" w:hAnsi="Cambria Math"/>
              </w:rPr>
              <m:t>by</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oMath>
      <w:r w:rsidR="00302F2C" w:rsidRPr="009A0260">
        <w:rPr>
          <w:rFonts w:eastAsiaTheme="minorEastAsia"/>
        </w:rPr>
        <w:tab/>
        <w:t>(11)</w:t>
      </w:r>
    </w:p>
    <w:p w14:paraId="23FDD54B" w14:textId="38BD8D91" w:rsidR="00302F2C" w:rsidRPr="009A0260" w:rsidRDefault="00302F2C" w:rsidP="00302F2C">
      <w:pPr>
        <w:rPr>
          <w:rFonts w:eastAsiaTheme="minorEastAsia"/>
        </w:rPr>
      </w:pPr>
      <w:r w:rsidRPr="009A0260">
        <w:rPr>
          <w:rFonts w:eastAsiaTheme="minorEastAsia"/>
        </w:rPr>
        <w:tab/>
        <w:t xml:space="preserve">where </w:t>
      </w:r>
      <m:oMath>
        <m:sSub>
          <m:sSubPr>
            <m:ctrlPr>
              <w:rPr>
                <w:rFonts w:ascii="Cambria Math" w:eastAsiaTheme="minorEastAsia" w:hAnsi="Cambria Math"/>
              </w:rPr>
            </m:ctrlPr>
          </m:sSubPr>
          <m:e>
            <m:r>
              <m:rPr>
                <m:sty m:val="p"/>
              </m:rPr>
              <w:rPr>
                <w:rFonts w:ascii="Cambria Math" w:eastAsiaTheme="minorEastAsia" w:hAnsi="Cambria Math"/>
              </w:rPr>
              <m:t>ζ</m:t>
            </m:r>
          </m:e>
          <m:sub>
            <m:r>
              <m:rPr>
                <m:sty m:val="p"/>
              </m:rPr>
              <w:rPr>
                <w:rFonts w:ascii="Cambria Math" w:eastAsiaTheme="minorEastAsia" w:hAnsi="Cambria Math"/>
              </w:rPr>
              <m:t>b</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r>
                  <m:rPr>
                    <m:sty m:val="p"/>
                  </m:rPr>
                  <w:rPr>
                    <w:rFonts w:ascii="Cambria Math" w:eastAsiaTheme="minorEastAsia" w:hAnsi="Cambria Math"/>
                  </w:rPr>
                  <m:t>σ</m:t>
                </m:r>
              </m:e>
            </m:d>
          </m:e>
        </m:d>
      </m:oMath>
      <w:r w:rsidRPr="009A0260">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η</m:t>
            </m:r>
          </m:e>
          <m:sub>
            <m:r>
              <m:rPr>
                <m:sty m:val="p"/>
              </m:rPr>
              <w:rPr>
                <w:rFonts w:ascii="Cambria Math" w:eastAsiaTheme="minorEastAsia" w:hAnsi="Cambria Math"/>
              </w:rPr>
              <m:t>bk</m:t>
            </m:r>
          </m:sub>
        </m:sSub>
        <m:r>
          <m:rPr>
            <m:sty m:val="p"/>
          </m:rPr>
          <w:rPr>
            <w:rFonts w:ascii="Cambria Math" w:eastAsiaTheme="minorEastAsia" w:hAnsi="Cambria Math"/>
          </w:rPr>
          <m:t>=N</m:t>
        </m:r>
        <m:d>
          <m:dPr>
            <m:ctrlPr>
              <w:rPr>
                <w:rFonts w:ascii="Cambria Math" w:eastAsiaTheme="minorEastAsia" w:hAnsi="Cambria Math"/>
              </w:rPr>
            </m:ctrlPr>
          </m:dPr>
          <m:e>
            <m:r>
              <m:rPr>
                <m:sty m:val="p"/>
              </m:rPr>
              <w:rPr>
                <w:rFonts w:ascii="Cambria Math" w:eastAsiaTheme="minorEastAsia" w:hAnsi="Cambria Math"/>
              </w:rPr>
              <m:t>0,diag</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υ</m:t>
                    </m:r>
                  </m:e>
                  <m:sub>
                    <m:r>
                      <m:rPr>
                        <m:sty m:val="p"/>
                      </m:rPr>
                      <w:rPr>
                        <w:rFonts w:ascii="Cambria Math" w:eastAsiaTheme="minorEastAsia" w:hAnsi="Cambria Math"/>
                      </w:rPr>
                      <m:t>k</m:t>
                    </m:r>
                  </m:sub>
                </m:sSub>
              </m:e>
            </m:d>
          </m:e>
        </m:d>
      </m:oMath>
    </w:p>
    <w:sectPr w:rsidR="00302F2C" w:rsidRPr="009A0260">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8232B" w14:textId="77777777" w:rsidR="00335F18" w:rsidRDefault="00335F18" w:rsidP="00FE3DA7">
      <w:pPr>
        <w:spacing w:after="0" w:line="240" w:lineRule="auto"/>
      </w:pPr>
      <w:r>
        <w:separator/>
      </w:r>
    </w:p>
  </w:endnote>
  <w:endnote w:type="continuationSeparator" w:id="0">
    <w:p w14:paraId="2B614D55" w14:textId="77777777" w:rsidR="00335F18" w:rsidRDefault="00335F18" w:rsidP="00FE3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308483"/>
      <w:docPartObj>
        <w:docPartGallery w:val="Page Numbers (Bottom of Page)"/>
        <w:docPartUnique/>
      </w:docPartObj>
    </w:sdtPr>
    <w:sdtEndPr>
      <w:rPr>
        <w:noProof/>
      </w:rPr>
    </w:sdtEndPr>
    <w:sdtContent>
      <w:p w14:paraId="6567865C" w14:textId="61F3EA13" w:rsidR="00D331CC" w:rsidRDefault="00D331CC">
        <w:pPr>
          <w:pStyle w:val="Footer"/>
          <w:jc w:val="right"/>
        </w:pPr>
        <w:r>
          <w:fldChar w:fldCharType="begin"/>
        </w:r>
        <w:r>
          <w:instrText xml:space="preserve"> PAGE   \* MERGEFORMAT </w:instrText>
        </w:r>
        <w:r>
          <w:fldChar w:fldCharType="separate"/>
        </w:r>
        <w:r w:rsidR="0094481E">
          <w:rPr>
            <w:noProof/>
          </w:rPr>
          <w:t>1</w:t>
        </w:r>
        <w:r>
          <w:rPr>
            <w:noProof/>
          </w:rPr>
          <w:fldChar w:fldCharType="end"/>
        </w:r>
      </w:p>
    </w:sdtContent>
  </w:sdt>
  <w:p w14:paraId="4F9A60FF" w14:textId="77777777" w:rsidR="00D331CC" w:rsidRDefault="00D331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5D21B" w14:textId="77777777" w:rsidR="00335F18" w:rsidRDefault="00335F18" w:rsidP="00FE3DA7">
      <w:pPr>
        <w:spacing w:after="0" w:line="240" w:lineRule="auto"/>
      </w:pPr>
      <w:r>
        <w:separator/>
      </w:r>
    </w:p>
  </w:footnote>
  <w:footnote w:type="continuationSeparator" w:id="0">
    <w:p w14:paraId="502CB8C4" w14:textId="77777777" w:rsidR="00335F18" w:rsidRDefault="00335F18" w:rsidP="00FE3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C1415"/>
    <w:multiLevelType w:val="hybridMultilevel"/>
    <w:tmpl w:val="425A0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234C4"/>
    <w:multiLevelType w:val="hybridMultilevel"/>
    <w:tmpl w:val="D37E36EA"/>
    <w:lvl w:ilvl="0" w:tplc="0A0EF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E6215"/>
    <w:multiLevelType w:val="hybridMultilevel"/>
    <w:tmpl w:val="F2C2B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40130"/>
    <w:multiLevelType w:val="hybridMultilevel"/>
    <w:tmpl w:val="62D8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C62D22"/>
    <w:multiLevelType w:val="hybridMultilevel"/>
    <w:tmpl w:val="962EEDB2"/>
    <w:lvl w:ilvl="0" w:tplc="23CEF3F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A6A6C"/>
    <w:multiLevelType w:val="hybridMultilevel"/>
    <w:tmpl w:val="01FA3A4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331F4"/>
    <w:multiLevelType w:val="hybridMultilevel"/>
    <w:tmpl w:val="2E4095F2"/>
    <w:lvl w:ilvl="0" w:tplc="5B2E63E8">
      <w:start w:val="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706E93"/>
    <w:multiLevelType w:val="hybridMultilevel"/>
    <w:tmpl w:val="609812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EC4217"/>
    <w:multiLevelType w:val="hybridMultilevel"/>
    <w:tmpl w:val="4202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407FAD"/>
    <w:multiLevelType w:val="hybridMultilevel"/>
    <w:tmpl w:val="0B14492C"/>
    <w:lvl w:ilvl="0" w:tplc="12FCC1A2">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637B1"/>
    <w:multiLevelType w:val="hybridMultilevel"/>
    <w:tmpl w:val="ACE09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9"/>
  </w:num>
  <w:num w:numId="5">
    <w:abstractNumId w:val="5"/>
  </w:num>
  <w:num w:numId="6">
    <w:abstractNumId w:val="2"/>
  </w:num>
  <w:num w:numId="7">
    <w:abstractNumId w:val="8"/>
  </w:num>
  <w:num w:numId="8">
    <w:abstractNumId w:val="0"/>
  </w:num>
  <w:num w:numId="9">
    <w:abstractNumId w:val="1"/>
  </w:num>
  <w:num w:numId="10">
    <w:abstractNumId w:val="1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A8"/>
    <w:rsid w:val="00004464"/>
    <w:rsid w:val="000101A6"/>
    <w:rsid w:val="00020775"/>
    <w:rsid w:val="00042CD7"/>
    <w:rsid w:val="00046C89"/>
    <w:rsid w:val="00052C3C"/>
    <w:rsid w:val="00056DC2"/>
    <w:rsid w:val="000655E0"/>
    <w:rsid w:val="00075B51"/>
    <w:rsid w:val="00080540"/>
    <w:rsid w:val="00085883"/>
    <w:rsid w:val="00087570"/>
    <w:rsid w:val="0009520C"/>
    <w:rsid w:val="0009568F"/>
    <w:rsid w:val="000A11DB"/>
    <w:rsid w:val="000A3BD2"/>
    <w:rsid w:val="000B0548"/>
    <w:rsid w:val="000B491C"/>
    <w:rsid w:val="000B77AB"/>
    <w:rsid w:val="000D6787"/>
    <w:rsid w:val="000D701F"/>
    <w:rsid w:val="000E368B"/>
    <w:rsid w:val="000E731A"/>
    <w:rsid w:val="000F2767"/>
    <w:rsid w:val="000F6BE9"/>
    <w:rsid w:val="00100E34"/>
    <w:rsid w:val="001015D0"/>
    <w:rsid w:val="00123768"/>
    <w:rsid w:val="00130388"/>
    <w:rsid w:val="00133BA1"/>
    <w:rsid w:val="001359F3"/>
    <w:rsid w:val="00136A9C"/>
    <w:rsid w:val="00146270"/>
    <w:rsid w:val="001464F5"/>
    <w:rsid w:val="0015049C"/>
    <w:rsid w:val="00163280"/>
    <w:rsid w:val="00163A64"/>
    <w:rsid w:val="00163E80"/>
    <w:rsid w:val="00181163"/>
    <w:rsid w:val="00192FD9"/>
    <w:rsid w:val="00197F7A"/>
    <w:rsid w:val="001A18AD"/>
    <w:rsid w:val="001A2B0B"/>
    <w:rsid w:val="001A5E73"/>
    <w:rsid w:val="001B1F4C"/>
    <w:rsid w:val="001B48E9"/>
    <w:rsid w:val="001B6B34"/>
    <w:rsid w:val="001C2F36"/>
    <w:rsid w:val="001D5810"/>
    <w:rsid w:val="001D76F4"/>
    <w:rsid w:val="001D7FA0"/>
    <w:rsid w:val="001E0315"/>
    <w:rsid w:val="001F3134"/>
    <w:rsid w:val="001F381C"/>
    <w:rsid w:val="001F586B"/>
    <w:rsid w:val="0020261C"/>
    <w:rsid w:val="00210316"/>
    <w:rsid w:val="00213BEC"/>
    <w:rsid w:val="0023307B"/>
    <w:rsid w:val="00240950"/>
    <w:rsid w:val="0025020E"/>
    <w:rsid w:val="002514AE"/>
    <w:rsid w:val="0025314E"/>
    <w:rsid w:val="00260711"/>
    <w:rsid w:val="00261039"/>
    <w:rsid w:val="00264E26"/>
    <w:rsid w:val="00265D38"/>
    <w:rsid w:val="0027435D"/>
    <w:rsid w:val="0028386F"/>
    <w:rsid w:val="00284692"/>
    <w:rsid w:val="00286E3B"/>
    <w:rsid w:val="002A11F8"/>
    <w:rsid w:val="002B12DA"/>
    <w:rsid w:val="002C0A81"/>
    <w:rsid w:val="002C0E38"/>
    <w:rsid w:val="002C3B65"/>
    <w:rsid w:val="002D400A"/>
    <w:rsid w:val="002D4A58"/>
    <w:rsid w:val="002D4ADB"/>
    <w:rsid w:val="002D6794"/>
    <w:rsid w:val="002E6B39"/>
    <w:rsid w:val="002F1EE2"/>
    <w:rsid w:val="00300329"/>
    <w:rsid w:val="00302F2C"/>
    <w:rsid w:val="00313DC2"/>
    <w:rsid w:val="00315DA1"/>
    <w:rsid w:val="00321CF7"/>
    <w:rsid w:val="00327E20"/>
    <w:rsid w:val="00335F18"/>
    <w:rsid w:val="0033772D"/>
    <w:rsid w:val="0035233E"/>
    <w:rsid w:val="00373BCF"/>
    <w:rsid w:val="00375A86"/>
    <w:rsid w:val="00376DD3"/>
    <w:rsid w:val="00384080"/>
    <w:rsid w:val="00386734"/>
    <w:rsid w:val="0039094E"/>
    <w:rsid w:val="00392CAF"/>
    <w:rsid w:val="003A0686"/>
    <w:rsid w:val="003A2214"/>
    <w:rsid w:val="003B2D93"/>
    <w:rsid w:val="003B7177"/>
    <w:rsid w:val="003D3268"/>
    <w:rsid w:val="003D4422"/>
    <w:rsid w:val="003E2028"/>
    <w:rsid w:val="003E3E78"/>
    <w:rsid w:val="003F74B9"/>
    <w:rsid w:val="00404284"/>
    <w:rsid w:val="00405B7B"/>
    <w:rsid w:val="00424FF9"/>
    <w:rsid w:val="00434EAA"/>
    <w:rsid w:val="00441C34"/>
    <w:rsid w:val="00452D5B"/>
    <w:rsid w:val="0046216E"/>
    <w:rsid w:val="00476168"/>
    <w:rsid w:val="004767B5"/>
    <w:rsid w:val="00483436"/>
    <w:rsid w:val="004904FE"/>
    <w:rsid w:val="00492252"/>
    <w:rsid w:val="00493E24"/>
    <w:rsid w:val="0049545E"/>
    <w:rsid w:val="0049587F"/>
    <w:rsid w:val="00497449"/>
    <w:rsid w:val="004978C5"/>
    <w:rsid w:val="004A0561"/>
    <w:rsid w:val="004A5146"/>
    <w:rsid w:val="004B05AC"/>
    <w:rsid w:val="004B5B31"/>
    <w:rsid w:val="004B662D"/>
    <w:rsid w:val="004C1233"/>
    <w:rsid w:val="004C16CA"/>
    <w:rsid w:val="004C64B7"/>
    <w:rsid w:val="004D12A4"/>
    <w:rsid w:val="004D2F20"/>
    <w:rsid w:val="004D42EE"/>
    <w:rsid w:val="004D5C2F"/>
    <w:rsid w:val="004E1B0E"/>
    <w:rsid w:val="004E2494"/>
    <w:rsid w:val="004E5EDF"/>
    <w:rsid w:val="004E742C"/>
    <w:rsid w:val="004F680C"/>
    <w:rsid w:val="00502B10"/>
    <w:rsid w:val="005038F0"/>
    <w:rsid w:val="00503BFA"/>
    <w:rsid w:val="005111A0"/>
    <w:rsid w:val="00513282"/>
    <w:rsid w:val="00514139"/>
    <w:rsid w:val="00522E35"/>
    <w:rsid w:val="00524C67"/>
    <w:rsid w:val="00525175"/>
    <w:rsid w:val="00525476"/>
    <w:rsid w:val="005261DC"/>
    <w:rsid w:val="00526C1F"/>
    <w:rsid w:val="005302B7"/>
    <w:rsid w:val="00533E0C"/>
    <w:rsid w:val="005368AE"/>
    <w:rsid w:val="005545C7"/>
    <w:rsid w:val="005557F8"/>
    <w:rsid w:val="00570976"/>
    <w:rsid w:val="00572980"/>
    <w:rsid w:val="005759FD"/>
    <w:rsid w:val="0058524D"/>
    <w:rsid w:val="005A2523"/>
    <w:rsid w:val="005A5659"/>
    <w:rsid w:val="005B6214"/>
    <w:rsid w:val="005B6500"/>
    <w:rsid w:val="005B73CD"/>
    <w:rsid w:val="005C184C"/>
    <w:rsid w:val="005C1BA5"/>
    <w:rsid w:val="005C1F4E"/>
    <w:rsid w:val="005C4DE5"/>
    <w:rsid w:val="005D3CD3"/>
    <w:rsid w:val="005E1959"/>
    <w:rsid w:val="005E2A92"/>
    <w:rsid w:val="005E5051"/>
    <w:rsid w:val="00603C69"/>
    <w:rsid w:val="00607C4B"/>
    <w:rsid w:val="00613470"/>
    <w:rsid w:val="00622522"/>
    <w:rsid w:val="00636610"/>
    <w:rsid w:val="00640583"/>
    <w:rsid w:val="006416CE"/>
    <w:rsid w:val="00646823"/>
    <w:rsid w:val="00651DC8"/>
    <w:rsid w:val="00653488"/>
    <w:rsid w:val="006552A5"/>
    <w:rsid w:val="00657976"/>
    <w:rsid w:val="00660FD7"/>
    <w:rsid w:val="00674752"/>
    <w:rsid w:val="006819E4"/>
    <w:rsid w:val="00693873"/>
    <w:rsid w:val="006B12E9"/>
    <w:rsid w:val="006C2375"/>
    <w:rsid w:val="006C2B46"/>
    <w:rsid w:val="006C6428"/>
    <w:rsid w:val="006D2384"/>
    <w:rsid w:val="006D79B5"/>
    <w:rsid w:val="006E6A2C"/>
    <w:rsid w:val="006F782C"/>
    <w:rsid w:val="00701D46"/>
    <w:rsid w:val="00706854"/>
    <w:rsid w:val="00710756"/>
    <w:rsid w:val="00720F03"/>
    <w:rsid w:val="0072497D"/>
    <w:rsid w:val="00737B59"/>
    <w:rsid w:val="00745BB0"/>
    <w:rsid w:val="00752670"/>
    <w:rsid w:val="007625DE"/>
    <w:rsid w:val="00771497"/>
    <w:rsid w:val="00772AC1"/>
    <w:rsid w:val="00773FEE"/>
    <w:rsid w:val="00774C21"/>
    <w:rsid w:val="00780C7C"/>
    <w:rsid w:val="007A42F9"/>
    <w:rsid w:val="007A5067"/>
    <w:rsid w:val="007A695B"/>
    <w:rsid w:val="007C3737"/>
    <w:rsid w:val="007C5208"/>
    <w:rsid w:val="007C6123"/>
    <w:rsid w:val="007D07A8"/>
    <w:rsid w:val="007D4F79"/>
    <w:rsid w:val="007E2C15"/>
    <w:rsid w:val="007F1919"/>
    <w:rsid w:val="007F702D"/>
    <w:rsid w:val="008034E6"/>
    <w:rsid w:val="00807808"/>
    <w:rsid w:val="008118C2"/>
    <w:rsid w:val="008122BF"/>
    <w:rsid w:val="00820AC7"/>
    <w:rsid w:val="00840FFF"/>
    <w:rsid w:val="008424B1"/>
    <w:rsid w:val="00855EF0"/>
    <w:rsid w:val="00861C2A"/>
    <w:rsid w:val="00864B14"/>
    <w:rsid w:val="008665EA"/>
    <w:rsid w:val="00866981"/>
    <w:rsid w:val="00867E08"/>
    <w:rsid w:val="00873701"/>
    <w:rsid w:val="00876DDD"/>
    <w:rsid w:val="008817BF"/>
    <w:rsid w:val="0089067E"/>
    <w:rsid w:val="00896529"/>
    <w:rsid w:val="008A086A"/>
    <w:rsid w:val="008A1EFD"/>
    <w:rsid w:val="008A68BD"/>
    <w:rsid w:val="008C378F"/>
    <w:rsid w:val="008D2FBF"/>
    <w:rsid w:val="008D4B61"/>
    <w:rsid w:val="008F353A"/>
    <w:rsid w:val="00910832"/>
    <w:rsid w:val="00915F3D"/>
    <w:rsid w:val="00920522"/>
    <w:rsid w:val="0092403C"/>
    <w:rsid w:val="00936E4D"/>
    <w:rsid w:val="0094481E"/>
    <w:rsid w:val="00946DBD"/>
    <w:rsid w:val="00953159"/>
    <w:rsid w:val="00964E6F"/>
    <w:rsid w:val="00972257"/>
    <w:rsid w:val="0098401F"/>
    <w:rsid w:val="00993F05"/>
    <w:rsid w:val="009A0260"/>
    <w:rsid w:val="009B3102"/>
    <w:rsid w:val="009C5BD8"/>
    <w:rsid w:val="009D33A4"/>
    <w:rsid w:val="009E393A"/>
    <w:rsid w:val="009F07DF"/>
    <w:rsid w:val="00A025BD"/>
    <w:rsid w:val="00A21591"/>
    <w:rsid w:val="00A22B27"/>
    <w:rsid w:val="00A25079"/>
    <w:rsid w:val="00A353B6"/>
    <w:rsid w:val="00A43ACF"/>
    <w:rsid w:val="00A44D02"/>
    <w:rsid w:val="00A53F68"/>
    <w:rsid w:val="00A67C05"/>
    <w:rsid w:val="00A71A65"/>
    <w:rsid w:val="00A7278C"/>
    <w:rsid w:val="00A72936"/>
    <w:rsid w:val="00A76C8F"/>
    <w:rsid w:val="00A85140"/>
    <w:rsid w:val="00A87EAB"/>
    <w:rsid w:val="00A93542"/>
    <w:rsid w:val="00AA47F1"/>
    <w:rsid w:val="00AD259F"/>
    <w:rsid w:val="00AD2C42"/>
    <w:rsid w:val="00AD2CC8"/>
    <w:rsid w:val="00AD342B"/>
    <w:rsid w:val="00AD7FF4"/>
    <w:rsid w:val="00AF0B56"/>
    <w:rsid w:val="00AF5200"/>
    <w:rsid w:val="00B101A3"/>
    <w:rsid w:val="00B14065"/>
    <w:rsid w:val="00B17240"/>
    <w:rsid w:val="00B210BE"/>
    <w:rsid w:val="00B311D5"/>
    <w:rsid w:val="00B47A41"/>
    <w:rsid w:val="00B47C85"/>
    <w:rsid w:val="00B47E32"/>
    <w:rsid w:val="00B537FC"/>
    <w:rsid w:val="00B53D06"/>
    <w:rsid w:val="00B57268"/>
    <w:rsid w:val="00B601A4"/>
    <w:rsid w:val="00B60209"/>
    <w:rsid w:val="00B63AD3"/>
    <w:rsid w:val="00B6467E"/>
    <w:rsid w:val="00B8037D"/>
    <w:rsid w:val="00B9517F"/>
    <w:rsid w:val="00B95BFB"/>
    <w:rsid w:val="00BA7ACB"/>
    <w:rsid w:val="00BB6894"/>
    <w:rsid w:val="00BC41A7"/>
    <w:rsid w:val="00BC5713"/>
    <w:rsid w:val="00BD3738"/>
    <w:rsid w:val="00BF29D5"/>
    <w:rsid w:val="00BF38B3"/>
    <w:rsid w:val="00BF443E"/>
    <w:rsid w:val="00BF532C"/>
    <w:rsid w:val="00BF675A"/>
    <w:rsid w:val="00C003A0"/>
    <w:rsid w:val="00C02257"/>
    <w:rsid w:val="00C1113E"/>
    <w:rsid w:val="00C20975"/>
    <w:rsid w:val="00C23196"/>
    <w:rsid w:val="00C403BA"/>
    <w:rsid w:val="00C45427"/>
    <w:rsid w:val="00C47006"/>
    <w:rsid w:val="00C4721F"/>
    <w:rsid w:val="00C50EDD"/>
    <w:rsid w:val="00C6447A"/>
    <w:rsid w:val="00C6778F"/>
    <w:rsid w:val="00C764C4"/>
    <w:rsid w:val="00C77EFD"/>
    <w:rsid w:val="00C84EA8"/>
    <w:rsid w:val="00C87455"/>
    <w:rsid w:val="00C9662C"/>
    <w:rsid w:val="00CA2707"/>
    <w:rsid w:val="00CA54CC"/>
    <w:rsid w:val="00CB2E72"/>
    <w:rsid w:val="00CB3762"/>
    <w:rsid w:val="00CC07B5"/>
    <w:rsid w:val="00CC5151"/>
    <w:rsid w:val="00CC780E"/>
    <w:rsid w:val="00CD675C"/>
    <w:rsid w:val="00CE4D4E"/>
    <w:rsid w:val="00CE4DEF"/>
    <w:rsid w:val="00CF4608"/>
    <w:rsid w:val="00D100CD"/>
    <w:rsid w:val="00D20DEF"/>
    <w:rsid w:val="00D250AF"/>
    <w:rsid w:val="00D32F87"/>
    <w:rsid w:val="00D331CC"/>
    <w:rsid w:val="00D35A20"/>
    <w:rsid w:val="00D370F2"/>
    <w:rsid w:val="00D568FC"/>
    <w:rsid w:val="00D57A44"/>
    <w:rsid w:val="00D60111"/>
    <w:rsid w:val="00D66B73"/>
    <w:rsid w:val="00D74169"/>
    <w:rsid w:val="00D81FD5"/>
    <w:rsid w:val="00D873B3"/>
    <w:rsid w:val="00D91842"/>
    <w:rsid w:val="00D95827"/>
    <w:rsid w:val="00D96B7D"/>
    <w:rsid w:val="00D973EF"/>
    <w:rsid w:val="00DB730B"/>
    <w:rsid w:val="00DC6B41"/>
    <w:rsid w:val="00DD0F86"/>
    <w:rsid w:val="00DD1572"/>
    <w:rsid w:val="00DF0AEC"/>
    <w:rsid w:val="00DF3F74"/>
    <w:rsid w:val="00E00FC0"/>
    <w:rsid w:val="00E23DCE"/>
    <w:rsid w:val="00E25E35"/>
    <w:rsid w:val="00E42953"/>
    <w:rsid w:val="00E443BF"/>
    <w:rsid w:val="00E45C60"/>
    <w:rsid w:val="00E54F27"/>
    <w:rsid w:val="00E61E7E"/>
    <w:rsid w:val="00E6412D"/>
    <w:rsid w:val="00E7422E"/>
    <w:rsid w:val="00E813EE"/>
    <w:rsid w:val="00E824D4"/>
    <w:rsid w:val="00E90E38"/>
    <w:rsid w:val="00E92AE0"/>
    <w:rsid w:val="00EA3B3F"/>
    <w:rsid w:val="00EA50B3"/>
    <w:rsid w:val="00EB24F3"/>
    <w:rsid w:val="00EB48F7"/>
    <w:rsid w:val="00EC4893"/>
    <w:rsid w:val="00ED0D80"/>
    <w:rsid w:val="00ED28F8"/>
    <w:rsid w:val="00ED72A8"/>
    <w:rsid w:val="00ED76BD"/>
    <w:rsid w:val="00EE2233"/>
    <w:rsid w:val="00EF2212"/>
    <w:rsid w:val="00EF458C"/>
    <w:rsid w:val="00F065AD"/>
    <w:rsid w:val="00F12241"/>
    <w:rsid w:val="00F15EF0"/>
    <w:rsid w:val="00F20E7F"/>
    <w:rsid w:val="00F40E87"/>
    <w:rsid w:val="00F51F47"/>
    <w:rsid w:val="00F536D3"/>
    <w:rsid w:val="00F56850"/>
    <w:rsid w:val="00F618BD"/>
    <w:rsid w:val="00F6686D"/>
    <w:rsid w:val="00F67200"/>
    <w:rsid w:val="00F743FD"/>
    <w:rsid w:val="00F74C74"/>
    <w:rsid w:val="00F75622"/>
    <w:rsid w:val="00F86458"/>
    <w:rsid w:val="00F947F1"/>
    <w:rsid w:val="00F952BE"/>
    <w:rsid w:val="00FA207B"/>
    <w:rsid w:val="00FA5528"/>
    <w:rsid w:val="00FB1B7C"/>
    <w:rsid w:val="00FB2AA7"/>
    <w:rsid w:val="00FB7E18"/>
    <w:rsid w:val="00FC68F4"/>
    <w:rsid w:val="00FD16AF"/>
    <w:rsid w:val="00FE3DA7"/>
    <w:rsid w:val="00FF2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F35E9"/>
  <w15:chartTrackingRefBased/>
  <w15:docId w15:val="{6AA0D3AD-CE29-49F0-BE65-CF3314C9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7A8"/>
    <w:pPr>
      <w:ind w:left="720"/>
      <w:contextualSpacing/>
    </w:pPr>
  </w:style>
  <w:style w:type="character" w:styleId="PlaceholderText">
    <w:name w:val="Placeholder Text"/>
    <w:basedOn w:val="DefaultParagraphFont"/>
    <w:uiPriority w:val="99"/>
    <w:semiHidden/>
    <w:rsid w:val="00C02257"/>
    <w:rPr>
      <w:color w:val="808080"/>
    </w:rPr>
  </w:style>
  <w:style w:type="paragraph" w:styleId="Title">
    <w:name w:val="Title"/>
    <w:basedOn w:val="Normal"/>
    <w:next w:val="Normal"/>
    <w:link w:val="TitleChar"/>
    <w:uiPriority w:val="10"/>
    <w:qFormat/>
    <w:rsid w:val="007A5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0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06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5067"/>
    <w:rPr>
      <w:rFonts w:eastAsiaTheme="minorEastAsia"/>
      <w:color w:val="5A5A5A" w:themeColor="text1" w:themeTint="A5"/>
      <w:spacing w:val="15"/>
    </w:rPr>
  </w:style>
  <w:style w:type="paragraph" w:styleId="Header">
    <w:name w:val="header"/>
    <w:basedOn w:val="Normal"/>
    <w:link w:val="HeaderChar"/>
    <w:uiPriority w:val="99"/>
    <w:unhideWhenUsed/>
    <w:rsid w:val="00FE3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DA7"/>
  </w:style>
  <w:style w:type="paragraph" w:styleId="Footer">
    <w:name w:val="footer"/>
    <w:basedOn w:val="Normal"/>
    <w:link w:val="FooterChar"/>
    <w:uiPriority w:val="99"/>
    <w:unhideWhenUsed/>
    <w:rsid w:val="00FE3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DA7"/>
  </w:style>
  <w:style w:type="character" w:styleId="CommentReference">
    <w:name w:val="annotation reference"/>
    <w:basedOn w:val="DefaultParagraphFont"/>
    <w:uiPriority w:val="99"/>
    <w:semiHidden/>
    <w:unhideWhenUsed/>
    <w:rsid w:val="00ED0D80"/>
    <w:rPr>
      <w:sz w:val="16"/>
      <w:szCs w:val="16"/>
    </w:rPr>
  </w:style>
  <w:style w:type="paragraph" w:styleId="CommentText">
    <w:name w:val="annotation text"/>
    <w:basedOn w:val="Normal"/>
    <w:link w:val="CommentTextChar"/>
    <w:uiPriority w:val="99"/>
    <w:semiHidden/>
    <w:unhideWhenUsed/>
    <w:rsid w:val="00ED0D80"/>
    <w:pPr>
      <w:spacing w:line="240" w:lineRule="auto"/>
    </w:pPr>
    <w:rPr>
      <w:sz w:val="20"/>
      <w:szCs w:val="20"/>
    </w:rPr>
  </w:style>
  <w:style w:type="character" w:customStyle="1" w:styleId="CommentTextChar">
    <w:name w:val="Comment Text Char"/>
    <w:basedOn w:val="DefaultParagraphFont"/>
    <w:link w:val="CommentText"/>
    <w:uiPriority w:val="99"/>
    <w:semiHidden/>
    <w:rsid w:val="00ED0D80"/>
    <w:rPr>
      <w:sz w:val="20"/>
      <w:szCs w:val="20"/>
    </w:rPr>
  </w:style>
  <w:style w:type="paragraph" w:styleId="CommentSubject">
    <w:name w:val="annotation subject"/>
    <w:basedOn w:val="CommentText"/>
    <w:next w:val="CommentText"/>
    <w:link w:val="CommentSubjectChar"/>
    <w:uiPriority w:val="99"/>
    <w:semiHidden/>
    <w:unhideWhenUsed/>
    <w:rsid w:val="00ED0D80"/>
    <w:rPr>
      <w:b/>
      <w:bCs/>
    </w:rPr>
  </w:style>
  <w:style w:type="character" w:customStyle="1" w:styleId="CommentSubjectChar">
    <w:name w:val="Comment Subject Char"/>
    <w:basedOn w:val="CommentTextChar"/>
    <w:link w:val="CommentSubject"/>
    <w:uiPriority w:val="99"/>
    <w:semiHidden/>
    <w:rsid w:val="00ED0D80"/>
    <w:rPr>
      <w:b/>
      <w:bCs/>
      <w:sz w:val="20"/>
      <w:szCs w:val="20"/>
    </w:rPr>
  </w:style>
  <w:style w:type="paragraph" w:styleId="BalloonText">
    <w:name w:val="Balloon Text"/>
    <w:basedOn w:val="Normal"/>
    <w:link w:val="BalloonTextChar"/>
    <w:uiPriority w:val="99"/>
    <w:semiHidden/>
    <w:unhideWhenUsed/>
    <w:rsid w:val="00ED0D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0D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0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01"/>
    <w:rsid w:val="00143201"/>
    <w:rsid w:val="00393E49"/>
    <w:rsid w:val="00CD7048"/>
    <w:rsid w:val="00DF1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E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2026C-5DBA-466E-BBAC-24EA7274D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1745</TotalTime>
  <Pages>3</Pages>
  <Words>670</Words>
  <Characters>3823</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Datta</dc:creator>
  <cp:keywords/>
  <dc:description/>
  <cp:lastModifiedBy>H. Datta</cp:lastModifiedBy>
  <cp:revision>411</cp:revision>
  <dcterms:created xsi:type="dcterms:W3CDTF">2016-01-04T16:53:00Z</dcterms:created>
  <dcterms:modified xsi:type="dcterms:W3CDTF">2016-02-16T12:46:00Z</dcterms:modified>
</cp:coreProperties>
</file>