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TODO Posra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All issues in the code have been tagged as TODO in a comment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verify_bracketpoints - Needs to be implemented to get rid of bracket duplicates / Cases where there are extraneous or non-bracket brackets.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Horizontal brackets - See osra_lib around line 836</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Unknown Black box around images!  Still don’t know the reason for this madness.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JNI compilation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Make the “White out” box’s width a function of image resolution.  On some of the higher resolution images the box doesn’t extend far enough to completely cover the bracket. Since the width is calculated by the farthest inner pixel, the box is hard-coded to cover only a couple pixels beyond that.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edit_smiles function is deprecated, if SMILES string editing will happen in Java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Posra.docx</dc:title>
</cp:coreProperties>
</file>