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77" w:rsidRPr="001055FC" w:rsidRDefault="00EB3E77" w:rsidP="00EB3E77">
      <w:pPr>
        <w:jc w:val="both"/>
        <w:rPr>
          <w:rFonts w:ascii="Tahoma" w:hAnsi="Tahoma" w:cs="Tahoma"/>
          <w:b/>
          <w:sz w:val="20"/>
          <w:szCs w:val="20"/>
        </w:rPr>
      </w:pPr>
      <w:bookmarkStart w:id="0" w:name="_Toc354411760"/>
      <w:r w:rsidRPr="001055FC">
        <w:rPr>
          <w:rFonts w:ascii="Tahoma" w:hAnsi="Tahoma" w:cs="Tahoma"/>
          <w:b/>
          <w:sz w:val="20"/>
          <w:szCs w:val="20"/>
        </w:rPr>
        <w:t xml:space="preserve">Underwriting (Including Coinsurance &amp; Reinsurance) </w:t>
      </w:r>
      <w:bookmarkEnd w:id="0"/>
    </w:p>
    <w:p w:rsidR="00EB3E77" w:rsidRPr="001055FC" w:rsidRDefault="00EB3E77" w:rsidP="00EB3E77">
      <w:pPr>
        <w:pStyle w:val="Heading2"/>
        <w:numPr>
          <w:ilvl w:val="0"/>
          <w:numId w:val="0"/>
        </w:num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5397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31"/>
        <w:gridCol w:w="2480"/>
        <w:gridCol w:w="3780"/>
        <w:gridCol w:w="5309"/>
      </w:tblGrid>
      <w:tr w:rsidR="001055FC" w:rsidRPr="001055FC" w:rsidTr="001055FC">
        <w:tc>
          <w:tcPr>
            <w:tcW w:w="1219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>Transaction</w:t>
            </w:r>
          </w:p>
        </w:tc>
        <w:tc>
          <w:tcPr>
            <w:tcW w:w="810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Transaction Component</w:t>
            </w:r>
          </w:p>
        </w:tc>
        <w:tc>
          <w:tcPr>
            <w:tcW w:w="1235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shd w:val="clear" w:color="auto" w:fill="C6D9F1"/>
          </w:tcPr>
          <w:p w:rsidR="00EB3E77" w:rsidRPr="001055FC" w:rsidRDefault="00EB3E77" w:rsidP="00DC75D5">
            <w:pPr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Comments </w:t>
            </w: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Underwriting Transactions (Direct, Agents, Brokers)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(Debiting and Crediting shown applies to Underwriting Debit Notes i.e., New Business, Renewal, Extension, Short Period, Additional Premium)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For Underwriting Credit Notes (Refunds) including contras, Cancellations etc, the Debiting/Crediting is reversed. </w:t>
            </w: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Premium (Direct, Agents, Brokers)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Premium Account. (Income)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Source Control accounts are setup in FMS System&gt;&gt;External Interfaces.  These control accounts depend on the source of business i.e., Agents, Brokers and Direct Accounts. 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Premium Account is mapped as GL Code (or GL Account No if at sub class level) </w:t>
            </w: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Premium (Facultative Inward)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DR: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in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CR: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in Premium Account (Income)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3"/>
              </w:numPr>
              <w:tabs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account type. </w:t>
            </w:r>
          </w:p>
          <w:p w:rsidR="00EB3E77" w:rsidRPr="001055FC" w:rsidRDefault="00EB3E77" w:rsidP="00EB3E77">
            <w:pPr>
              <w:numPr>
                <w:ilvl w:val="0"/>
                <w:numId w:val="3"/>
              </w:numPr>
              <w:tabs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in Premium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 mapped as GL Code (or GL Account No if at sub class level) </w:t>
            </w: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Policy Holders Fund (Tax.  Where applicable)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Account.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Policy Holders Account (Liability)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Source control account in FMS system from the External interfaces under agents , broker and direct account types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Policy Holders Account is mapped as GL Code (or GL Account No if at sub class level) </w:t>
            </w:r>
          </w:p>
        </w:tc>
      </w:tr>
      <w:tr w:rsidR="001055FC" w:rsidRPr="001055FC" w:rsidTr="001055FC">
        <w:trPr>
          <w:trHeight w:val="548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Stamp Duty (Tax.  Where applicable)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Account.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Stamp Duty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agents, broker and direct account types. 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Stamp Duty Account is mapped as GL Code (or GL Account No if at sub class level)  </w:t>
            </w: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Training Levy (Tax.  Where applicable)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Account.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Training Levy Account (Liability)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 and direct account types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Training Levy Account is mapped as GL Code (or GL Account No if at sub class level) </w:t>
            </w:r>
          </w:p>
        </w:tc>
      </w:tr>
      <w:tr w:rsidR="001055FC" w:rsidRPr="001055FC" w:rsidTr="001055FC">
        <w:trPr>
          <w:trHeight w:val="575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Commission (Direct, Agents, Brokers)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Commission Account (Expense)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Source Control Account.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{Parameterised: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Commission Payable Accounts (Liability) }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Commission Account is mapped as GL Code (or GL Account No if at sub class level) </w:t>
            </w:r>
          </w:p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 and direct account types</w:t>
            </w:r>
          </w:p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{Commission Payable account is mapped on the contra GL account on the mapping screen in GIS}</w:t>
            </w:r>
          </w:p>
        </w:tc>
      </w:tr>
      <w:tr w:rsidR="001055FC" w:rsidRPr="001055FC" w:rsidTr="001055FC">
        <w:trPr>
          <w:trHeight w:val="575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Commission (Facultative Inward)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DR: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in Commission Account (expense)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CR: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in Control Account (Asset)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3"/>
              </w:numPr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Commission Account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mapped as GL Code (or GL Account No if at sub class level) </w:t>
            </w:r>
          </w:p>
          <w:p w:rsidR="00EB3E77" w:rsidRPr="001055FC" w:rsidRDefault="00EB3E77" w:rsidP="00EB3E77">
            <w:pPr>
              <w:numPr>
                <w:ilvl w:val="0"/>
                <w:numId w:val="3"/>
              </w:numPr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account type. </w:t>
            </w:r>
          </w:p>
        </w:tc>
      </w:tr>
      <w:tr w:rsidR="001055FC" w:rsidRPr="001055FC" w:rsidTr="001055FC">
        <w:trPr>
          <w:trHeight w:val="53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Withholding Tax (for intermediaries) 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Account.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Withholding Tax Payable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 and direct account types</w:t>
            </w:r>
          </w:p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Withholding Tax Payable is mapped as GL Code (or GL Account No if at sub class level) </w:t>
            </w:r>
          </w:p>
        </w:tc>
      </w:tr>
      <w:tr w:rsidR="001055FC" w:rsidRPr="001055FC" w:rsidTr="001055FC">
        <w:trPr>
          <w:trHeight w:val="737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Underwriting Reinsurance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(Debiting and Crediting shown applies to Underwriting Debit Notes i.e., New Business, Renewal, Extension, Short Period, Additional Premium)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For Underwriting Credit Notes (Refunds) including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contra’s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, Cancellations etc, the Debiting/Crediting is reversed. </w:t>
            </w: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Reinsurance Premium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Reinsurance Control Account ( 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Treaty Premium Account (Expense 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reinsurance account type. </w:t>
            </w:r>
          </w:p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Treaty Premium Account is mapped as GL Code (or GL Account No if at sub class level) </w:t>
            </w:r>
          </w:p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FSTPREM (First Surplus) , SECPREM (Second Surplus) , QSTPREM (Quota share) , FACPREOU (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out) </w:t>
            </w:r>
          </w:p>
        </w:tc>
      </w:tr>
      <w:tr w:rsidR="001055FC" w:rsidRPr="001055FC" w:rsidTr="001055FC">
        <w:trPr>
          <w:trHeight w:val="68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Reinsurance Commission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Treaty Commission Account (Income)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Reinsurance Control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Treaty Commission Account is a mapped as GL Code (or GL Account No if at sub class level) </w:t>
            </w:r>
          </w:p>
          <w:p w:rsidR="00EB3E77" w:rsidRPr="001055FC" w:rsidRDefault="00EB3E77" w:rsidP="00EB3E77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FSTCOM (First surplus) , SECCOM (Second surplus) , QSTCOM (Quota share) , FACCOMOU (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out) </w:t>
            </w:r>
          </w:p>
          <w:p w:rsidR="00EB3E77" w:rsidRPr="001055FC" w:rsidRDefault="00EB3E77" w:rsidP="00EB3E77">
            <w:pPr>
              <w:numPr>
                <w:ilvl w:val="0"/>
                <w:numId w:val="3"/>
              </w:numPr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Reinsurance account type. </w:t>
            </w:r>
          </w:p>
        </w:tc>
      </w:tr>
      <w:tr w:rsidR="001055FC" w:rsidRPr="001055FC" w:rsidTr="001055FC">
        <w:trPr>
          <w:trHeight w:val="68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Premium</w:t>
            </w:r>
          </w:p>
        </w:tc>
        <w:tc>
          <w:tcPr>
            <w:tcW w:w="12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Premium (Expense)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Control Account (Liability)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Premium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is mapped GL Code (or GL Account No if at sub class level)  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FACPREOU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account type. </w:t>
            </w:r>
          </w:p>
        </w:tc>
      </w:tr>
      <w:tr w:rsidR="001055FC" w:rsidRPr="001055FC" w:rsidTr="001055FC">
        <w:trPr>
          <w:trHeight w:val="17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Facultative Commission</w:t>
            </w:r>
          </w:p>
        </w:tc>
        <w:tc>
          <w:tcPr>
            <w:tcW w:w="1235" w:type="pct"/>
            <w:tcBorders>
              <w:bottom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Commission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control Account (Liability)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Commission Account is mapped as GL Code (or GL Account No if at sub class level)  FACCOMOU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account type. </w:t>
            </w:r>
          </w:p>
        </w:tc>
      </w:tr>
      <w:tr w:rsidR="001055FC" w:rsidRPr="001055FC" w:rsidTr="001055FC">
        <w:trPr>
          <w:trHeight w:val="17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Pool Premium</w:t>
            </w:r>
          </w:p>
        </w:tc>
        <w:tc>
          <w:tcPr>
            <w:tcW w:w="1235" w:type="pct"/>
            <w:tcBorders>
              <w:bottom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Pool Premium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Pool Control Account (Liability)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Premium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is mapped as GL Code (or GL Account No if at sub class level) 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A control account in FMS system from the External interfaces under Pool account type. </w:t>
            </w:r>
          </w:p>
        </w:tc>
      </w:tr>
      <w:tr w:rsidR="001055FC" w:rsidRPr="001055FC" w:rsidTr="001055FC">
        <w:trPr>
          <w:trHeight w:val="17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Pool Commission</w:t>
            </w:r>
          </w:p>
        </w:tc>
        <w:tc>
          <w:tcPr>
            <w:tcW w:w="1235" w:type="pct"/>
            <w:tcBorders>
              <w:bottom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Pool Commission Account (Income)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Pool control Account (Liability) </w:t>
            </w:r>
          </w:p>
        </w:tc>
        <w:tc>
          <w:tcPr>
            <w:tcW w:w="1735" w:type="pct"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Pool Commission Account is mapped as GL Code (or GL Account No if at sub class level)  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tabs>
                <w:tab w:val="clear" w:pos="360"/>
                <w:tab w:val="num" w:pos="702"/>
              </w:tabs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Pool out account type. </w:t>
            </w:r>
          </w:p>
        </w:tc>
      </w:tr>
      <w:tr w:rsidR="001055FC" w:rsidRPr="001055FC" w:rsidTr="001055FC">
        <w:trPr>
          <w:trHeight w:val="488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Coinsurance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Where the company only debits/credit for its coinsurance portion of the premium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(Debiting and Crediting shown applies to Underwriting Debit Notes i.e., New Business, Renewal, Extension, Short Period, Additional Premium)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For Underwriting Credit Notes (Refunds) including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contra’s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, Cancellations etc, the Debiting/Crediting is reversed.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Premium, Taxes, Commission, Withholding Tax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Same as Underwriting transactions above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Same as Underwriting transactions above</w:t>
            </w: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Servicing Fee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(ORC)  where a leader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Insurance Control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Service Fee Account (Income) 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Insurance account type. 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Service fee account is mapped as GL Code (or GL Account No if at sub class level) 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Servicing Fee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(ORC)  where a follower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Insurance Control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Service Fee Account (Expense)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Insurance account type. 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Service fee account is mapped as GL Code (or GL Account No if at sub class level) 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690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>Coinsurance Combined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This is where the company debits/credit for the 100% coinsurance portion of the premium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(Debiting and Crediting shown applies to Underwriting Debit Notes i.e., New Business, Renewal, Extension, Short Period, Additional Premium)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For Underwriting Credit Notes (Refunds) including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contra’s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, Cancellations etc, the Debiting/Crediting is reversed. </w:t>
            </w: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Own portion of Premium, Taxes, Commission, Withholding Tax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Same as Underwriting transactions above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Same as Underwriting transactions above</w:t>
            </w:r>
          </w:p>
        </w:tc>
      </w:tr>
      <w:tr w:rsidR="001055FC" w:rsidRPr="001055FC" w:rsidTr="001055FC">
        <w:trPr>
          <w:trHeight w:val="69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Servicing Fee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(ORC)  where a leader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Insurance Control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Service Fee Account (Income)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Insurance account type. 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Service fee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</w:p>
        </w:tc>
      </w:tr>
      <w:tr w:rsidR="001055FC" w:rsidRPr="001055FC" w:rsidTr="001055FC">
        <w:trPr>
          <w:trHeight w:val="69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Portion Premium (Per co-insurer) 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Co-insurer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vMerge w:val="restar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Source control account in FMS system from the External interfaces under agents, broker and direct account types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Accounts is specified in accounts setups </w:t>
            </w: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in CRM for Insurance companies under the insurance Account type </w:t>
            </w: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Portion Commission (Per co-insurer) 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Co-insurer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vMerge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54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Portion Withholding Tax (Per co-insurer) 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Co-insurer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vMerge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75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Portion Coinsurance VAT (Per co-insurer) </w:t>
            </w:r>
          </w:p>
        </w:tc>
        <w:tc>
          <w:tcPr>
            <w:tcW w:w="1235" w:type="pct"/>
            <w:tcBorders>
              <w:top w:val="nil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Co-insurer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vMerge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62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Portion Training Levy (Per co-insurer) 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 Co-insurer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vMerge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53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Portion Policy Holders Fund (Per co-insurer) 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Co-insurer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vMerge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62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Co-insurers Portion Extra Charges (Per co-insurer) </w:t>
            </w:r>
          </w:p>
        </w:tc>
        <w:tc>
          <w:tcPr>
            <w:tcW w:w="12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Source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Co-insurer account (Liability)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vMerge/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5FC" w:rsidRPr="001055FC" w:rsidTr="001055FC">
        <w:trPr>
          <w:trHeight w:val="143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>Premium Receipting</w:t>
            </w:r>
          </w:p>
        </w:tc>
        <w:tc>
          <w:tcPr>
            <w:tcW w:w="810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5" w:type="pct"/>
            <w:tcBorders>
              <w:top w:val="single" w:sz="4" w:space="0" w:color="auto"/>
              <w:bottom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Account Type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Bank (Asset 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  <w:bottom w:val="single" w:sz="4" w:space="0" w:color="auto"/>
            </w:tcBorders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broker, Facultative In and direct account types</w:t>
            </w:r>
          </w:p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Bank account selected at point of receipting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B3E77" w:rsidRPr="001055FC" w:rsidRDefault="00EB3E77" w:rsidP="00EB3E77">
      <w:pPr>
        <w:jc w:val="both"/>
        <w:rPr>
          <w:rFonts w:ascii="Tahoma" w:hAnsi="Tahoma" w:cs="Tahoma"/>
          <w:sz w:val="20"/>
          <w:szCs w:val="20"/>
        </w:rPr>
      </w:pPr>
    </w:p>
    <w:p w:rsidR="00EB3E77" w:rsidRPr="001055FC" w:rsidRDefault="00EB3E77" w:rsidP="00EB3E77">
      <w:pPr>
        <w:jc w:val="both"/>
        <w:rPr>
          <w:rFonts w:ascii="Tahoma" w:hAnsi="Tahoma" w:cs="Tahoma"/>
          <w:b/>
          <w:sz w:val="20"/>
          <w:szCs w:val="20"/>
        </w:rPr>
      </w:pPr>
      <w:bookmarkStart w:id="1" w:name="_Toc354411761"/>
      <w:r w:rsidRPr="001055FC">
        <w:rPr>
          <w:rFonts w:ascii="Tahoma" w:hAnsi="Tahoma" w:cs="Tahoma"/>
          <w:b/>
          <w:sz w:val="20"/>
          <w:szCs w:val="20"/>
        </w:rPr>
        <w:t xml:space="preserve">Claims (Including Coinsurance &amp; Reinsurance) </w:t>
      </w:r>
      <w:bookmarkEnd w:id="1"/>
    </w:p>
    <w:p w:rsidR="00EB3E77" w:rsidRPr="001055FC" w:rsidRDefault="00EB3E77" w:rsidP="00EB3E77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5397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30"/>
        <w:gridCol w:w="2390"/>
        <w:gridCol w:w="3871"/>
        <w:gridCol w:w="5309"/>
      </w:tblGrid>
      <w:tr w:rsidR="00EB3E77" w:rsidRPr="001055FC" w:rsidTr="001055FC">
        <w:tc>
          <w:tcPr>
            <w:tcW w:w="1219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>Transaction</w:t>
            </w:r>
          </w:p>
        </w:tc>
        <w:tc>
          <w:tcPr>
            <w:tcW w:w="781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Transaction Component</w:t>
            </w:r>
          </w:p>
        </w:tc>
        <w:tc>
          <w:tcPr>
            <w:tcW w:w="1265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shd w:val="clear" w:color="auto" w:fill="C6D9F1"/>
          </w:tcPr>
          <w:p w:rsidR="00EB3E77" w:rsidRPr="001055FC" w:rsidRDefault="00EB3E77" w:rsidP="00DC75D5">
            <w:pPr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Comments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Claim Loss Opening Reserve (LOP)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Gross Reserve (Direct Business) 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Claims Incurred A/c (Expense)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outstanding A/c (Liability)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Incurred claim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Outstanding Claim Account is mapped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Contra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Gross Reserve (Facultative Inward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Claims Incurred A/c (Expense)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outstanding A/c New (Liability)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Claim Incurred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Outstanding Claim Account is mapped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Contra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Reserve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outstanding Treaty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Incurred treaty (Expense)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Claim treaty claim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Incurred Claims Treaty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Reserve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outstanding Facultative </w:t>
            </w: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Incurred Facultative (Expense)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lastRenderedPageBreak/>
              <w:t xml:space="preserve">Claim Facultative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>code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GL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Incurred Claims Treaty Account is mapped Contra Account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Reserve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outstanding Pool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Incurred Facultative New (Expense)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Claim Pool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GL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Incurred Claims Pool Account is mapped Contra Account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Co-insurers Reserve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Not posted to GL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>Not posted to GL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XOL Opening reserve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outstanding XOL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Incurred XOL New (Expense)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Claim XOL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GL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Incurred Claims XOL Account is mapped Contra Account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Claim Loss Reserve Revision (LRV)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(Debiting and Crediting shown applies to Upward revision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For downward revision including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contra’s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the Debiting/Crediting is reversed.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Gross Reserve Revision (Direct Business) 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: Claims Incurred A/c (Expense)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 Claim outstanding A/c New (Liability)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Incurred claim Loss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Outstanding Claim Account is mapped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Contra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Gross Reserve Revision (Facultative Inward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Claims Incurred A/c (Expense)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 Claim outstanding A/c New (Liability)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Incurred claim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Outstanding Claim Account is mapped -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Contra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Reserve Revision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 Claim outstanding Treaty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 Claim Incurred treaty (Expense)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Claim treaty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Incurred Claims Treaty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Reserve Revision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outstanding Facultative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Incurred Facultative (Expense)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Claim treaty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GL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Incurred Claims Treaty Account is mapped Contra Account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Reserve Revision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outstanding Pool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Incurred Facultative New (Expense)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Claim treaty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GL 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Incurred Claims Treaty Account is mapped Contra Account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Reserve Revision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Not Posted to GL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>Not posted to GL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XOL Reserve Revision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outstanding XOL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CR: Claim Incurred XOL New (Expense)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lastRenderedPageBreak/>
              <w:t xml:space="preserve">Claim XOL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GL 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Account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Incurred Claims XOL Account is mapped Contra Account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Claim Payment (Payments to claimants) </w:t>
            </w: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Gross Payment (Direct Business) 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Claims Paid Gross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Bank (Assets)  if Paid by Cash/Cheque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Account Type Control Account where paid by Credit Note.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Claim Paid Gross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Bank account is mapped in FMS system from the External interfaces screen as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trans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type CLM under the GIS system.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Where the payment is by cheque, the system posts to the bank account specified.  Where the payment is by credit note,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The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amount is posted to the respective control account for the payee's account type.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Gross Payment (Facultative Inward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Claims Paid Gross (Liability) 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Bank (Assets)  if Paid by Cash/Cheque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Account Type Control Account where paid by Credit Note.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Claim payment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Bank account is mapped in FMS system from the External interfaces screen as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trans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type CLM under the GIS system.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Portion of claim payment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Treaty Control A/C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Paid treaty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Paid treaty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Treaty Paid) 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-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Treaty Control A/C defined in FMS system from the External interfaces under Reinsurance account type. 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Portion of claim payment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Facultative Control A/C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Claim Paid Facultative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Paid facultative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facultative)  Paid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Portion of claim payment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Pool Control A/C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Paid Pool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Paid Pool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Pool)  Paid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XOL Portion of claim Payment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XOL Control A/C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Claim Paid XOL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Paid XOL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XOL)  Paid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XOL Control A/C defined in FMS system from the </w:t>
            </w: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>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Withholding Tax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DR: Withholding Tax Control (</w:t>
            </w:r>
            <w:r w:rsidRPr="001055FC">
              <w:rPr>
                <w:rFonts w:ascii="Tahoma" w:hAnsi="Tahoma" w:cs="Tahoma"/>
                <w:sz w:val="20"/>
                <w:szCs w:val="20"/>
              </w:rPr>
              <w:t>Liability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CR: Withholding Tax Account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Withholding Tax Control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WTHTPY (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Withholding Tax 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>WTHTPY (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Contra Account)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VAT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DR: VAT Control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CR:VAT Account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VAT Control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WTHVAT 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VAT 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WTHVAT| (contra account) </w:t>
            </w:r>
          </w:p>
        </w:tc>
      </w:tr>
      <w:tr w:rsidR="00EB3E77" w:rsidRPr="001055FC" w:rsidTr="001055FC">
        <w:trPr>
          <w:trHeight w:val="557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Payment- 100% Coinsurance Payment</w:t>
            </w: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Payment (Coinsurance 100%) 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Claims Paid Gross with own share (Liability)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Co-insurers Control A/C with co-insurers share of payment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Co-insurers Control A/C with co-insurers of VAT and With - holding tax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VAT and With - holding Tax Control A/C with VAT and With - holding tax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Bank (Assets)  if Paid by Cash/Cheque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Account Type Control Account where paid by Credit Note.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Claim Paid Gross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Co-insurers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Bank account is mapped in FMS system from the External interfaces screen as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trans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type CLM under the GIS system.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Where the payment is by cheque, the system posts to the bank account specified.  Where the payment is by credit note,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The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amount is posted to the respective control account for the payee's account type. </w:t>
            </w:r>
          </w:p>
        </w:tc>
      </w:tr>
      <w:tr w:rsidR="00EB3E77" w:rsidRPr="001055FC" w:rsidTr="001055FC">
        <w:trPr>
          <w:trHeight w:val="130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Treaties, Facultative, pool, XOL, own share Withholding Tax and own Share VAT 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Same as Non coinsurance payment above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Same as non coinsurance payment above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Salvage</w:t>
            </w: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Receipts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Claim Salvage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Bank/Cash A/c (Asset)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Salvage account type. </w:t>
            </w:r>
          </w:p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Bank account is mapped in FMS system from the External interfaces screen as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trans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type CLM under the GIS system. </w:t>
            </w:r>
          </w:p>
          <w:p w:rsidR="00EB3E77" w:rsidRPr="001055FC" w:rsidRDefault="00EB3E77" w:rsidP="00DC75D5">
            <w:pPr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Gross Salvage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Claim Salvage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Salvage Income A/c (Income)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OS claim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CLMSALVG (GL account) </w:t>
            </w:r>
          </w:p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Salvage Income A/c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CLMSALVG (contra Account)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Treaty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Treaty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Salvage treaty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Salvage treaty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Treaty </w:t>
            </w:r>
            <w:r w:rsidRPr="001055FC">
              <w:rPr>
                <w:rFonts w:ascii="Tahoma" w:hAnsi="Tahoma" w:cs="Tahoma"/>
                <w:sz w:val="20"/>
                <w:szCs w:val="20"/>
              </w:rPr>
              <w:t>Salvage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) 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-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Treaty Control A/C defined in FMS system from the External interfaces under Reinsurance account type. 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Facultative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Facultative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Claim Salvage Facultative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Salvage facultative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facultative) 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Salvage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Pool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Pool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Claim Salvage Pool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Salvage Pool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Pool)  Paid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Salvage XOL Portion 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XOL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Claim Salvage XOL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Salvage XOL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XOL) 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Salvage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XOL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Co-insurers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Co-insurers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Salvage Control A/C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Recovery A/C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Salvage control account defined in FMS system from the External interfaces under Salvage account type.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Third Party Recovery</w:t>
            </w: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Receipts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Claim Recovery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Bank/Cash A/c (Asset)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A control account in FMS system from the External interfaces under Recovery account type. </w:t>
            </w:r>
          </w:p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Bank account is mapped in FMS system from the External interfaces screen as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trans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type CLM under the GIS system. </w:t>
            </w:r>
          </w:p>
          <w:p w:rsidR="00EB3E77" w:rsidRPr="001055FC" w:rsidRDefault="00EB3E77" w:rsidP="00DC75D5">
            <w:pPr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Gross Salvage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Claim Recovery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Recovery Income A/c (Income)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OS claim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CLMSALVG (GL account) </w:t>
            </w:r>
          </w:p>
          <w:p w:rsidR="00EB3E77" w:rsidRPr="001055FC" w:rsidRDefault="00EB3E77" w:rsidP="001055FC">
            <w:pPr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Salvage Income A/c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</w:t>
            </w: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CLMSALVG (contra Account)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Treaty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Treaty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Recovery treaty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Recovery treaty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Treaty </w:t>
            </w:r>
            <w:r w:rsidRPr="001055FC">
              <w:rPr>
                <w:rFonts w:ascii="Tahoma" w:hAnsi="Tahoma" w:cs="Tahoma"/>
                <w:sz w:val="20"/>
                <w:szCs w:val="20"/>
              </w:rPr>
              <w:t>Recovery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) 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-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Treaty Control A/C defined in FMS system from the External interfaces under Reinsurance account type. 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Facultative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Facultative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Claim Recovery Facultative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Recovery facultative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facultative)  </w:t>
            </w:r>
            <w:r w:rsidRPr="001055FC">
              <w:rPr>
                <w:rFonts w:ascii="Tahoma" w:hAnsi="Tahoma" w:cs="Tahoma"/>
                <w:sz w:val="20"/>
                <w:szCs w:val="20"/>
              </w:rPr>
              <w:t>Recovery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Pool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Pool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Claim Recovery Pool 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Recovery Pool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Pool)  Paid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Salvage XOL Portion </w:t>
            </w:r>
          </w:p>
        </w:tc>
        <w:tc>
          <w:tcPr>
            <w:tcW w:w="1265" w:type="pct"/>
            <w:tcBorders>
              <w:top w:val="single" w:sz="4" w:space="0" w:color="auto"/>
              <w:bottom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XOL Control A/C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Claim Recovery XOL</w:t>
            </w:r>
          </w:p>
        </w:tc>
        <w:tc>
          <w:tcPr>
            <w:tcW w:w="1735" w:type="pct"/>
            <w:tcBorders>
              <w:top w:val="single" w:sz="4" w:space="0" w:color="auto"/>
              <w:bottom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Claim Recovery XOL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Outstanding Claim XOL)  </w:t>
            </w:r>
            <w:r w:rsidRPr="001055FC">
              <w:rPr>
                <w:rFonts w:ascii="Tahoma" w:hAnsi="Tahoma" w:cs="Tahoma"/>
                <w:sz w:val="20"/>
                <w:szCs w:val="20"/>
              </w:rPr>
              <w:t>Recovery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XOL Control A/C defined in FMS system from the External interfaces under Reinsurance account type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81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Salvage Co-insurers Portion</w:t>
            </w:r>
          </w:p>
        </w:tc>
        <w:tc>
          <w:tcPr>
            <w:tcW w:w="126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Co-insurers A/C </w:t>
            </w:r>
          </w:p>
          <w:p w:rsidR="00EB3E77" w:rsidRPr="001055FC" w:rsidRDefault="00EB3E77" w:rsidP="00DC75D5">
            <w:p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Recovery Control A/C</w:t>
            </w:r>
          </w:p>
        </w:tc>
        <w:tc>
          <w:tcPr>
            <w:tcW w:w="1735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Recovery A/C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Salvage control account defined in FMS system from the External interfaces under Recovery account type. </w:t>
            </w:r>
          </w:p>
        </w:tc>
      </w:tr>
    </w:tbl>
    <w:p w:rsidR="00EB3E77" w:rsidRPr="001055FC" w:rsidRDefault="00EB3E77" w:rsidP="00EB3E77">
      <w:pPr>
        <w:jc w:val="both"/>
        <w:rPr>
          <w:rFonts w:ascii="Tahoma" w:hAnsi="Tahoma" w:cs="Tahoma"/>
          <w:sz w:val="20"/>
          <w:szCs w:val="20"/>
        </w:rPr>
      </w:pPr>
    </w:p>
    <w:p w:rsidR="00EB3E77" w:rsidRPr="001055FC" w:rsidRDefault="00EB3E77" w:rsidP="00EB3E77">
      <w:pPr>
        <w:jc w:val="both"/>
        <w:rPr>
          <w:rFonts w:ascii="Tahoma" w:hAnsi="Tahoma" w:cs="Tahoma"/>
          <w:b/>
          <w:sz w:val="20"/>
          <w:szCs w:val="20"/>
        </w:rPr>
      </w:pPr>
      <w:bookmarkStart w:id="2" w:name="_Toc354411762"/>
      <w:r w:rsidRPr="001055FC">
        <w:rPr>
          <w:rFonts w:ascii="Tahoma" w:hAnsi="Tahoma" w:cs="Tahoma"/>
          <w:b/>
          <w:sz w:val="20"/>
          <w:szCs w:val="20"/>
        </w:rPr>
        <w:t>Accounts Module &amp; Others</w:t>
      </w:r>
      <w:bookmarkEnd w:id="2"/>
    </w:p>
    <w:p w:rsidR="00EB3E77" w:rsidRPr="001055FC" w:rsidRDefault="00EB3E77" w:rsidP="00EB3E77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5397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30"/>
        <w:gridCol w:w="1998"/>
        <w:gridCol w:w="3473"/>
        <w:gridCol w:w="6099"/>
      </w:tblGrid>
      <w:tr w:rsidR="00EB3E77" w:rsidRPr="001055FC" w:rsidTr="001055FC">
        <w:tc>
          <w:tcPr>
            <w:tcW w:w="1219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>Transaction</w:t>
            </w:r>
          </w:p>
        </w:tc>
        <w:tc>
          <w:tcPr>
            <w:tcW w:w="653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Transaction Component</w:t>
            </w:r>
          </w:p>
        </w:tc>
        <w:tc>
          <w:tcPr>
            <w:tcW w:w="1135" w:type="pct"/>
            <w:shd w:val="clear" w:color="auto" w:fill="C6D9F1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93" w:type="pct"/>
            <w:shd w:val="clear" w:color="auto" w:fill="C6D9F1"/>
          </w:tcPr>
          <w:p w:rsidR="00EB3E77" w:rsidRPr="001055FC" w:rsidRDefault="00EB3E77" w:rsidP="00DC75D5">
            <w:pPr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b/>
                <w:sz w:val="20"/>
                <w:szCs w:val="20"/>
              </w:rPr>
              <w:t xml:space="preserve">Comments </w:t>
            </w:r>
          </w:p>
        </w:tc>
      </w:tr>
      <w:tr w:rsidR="00EB3E77" w:rsidRPr="001055FC" w:rsidTr="001055FC">
        <w:trPr>
          <w:trHeight w:val="143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Premium Receipts (Direct, Agents, Brokers, Facultative In) 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Premium receipts</w:t>
            </w:r>
          </w:p>
        </w:tc>
        <w:tc>
          <w:tcPr>
            <w:tcW w:w="1135" w:type="pct"/>
            <w:tcBorders>
              <w:top w:val="single" w:sz="4" w:space="0" w:color="auto"/>
              <w:bottom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Account Type control Account (Asset) 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Bank (Asset) </w:t>
            </w:r>
          </w:p>
        </w:tc>
        <w:tc>
          <w:tcPr>
            <w:tcW w:w="1993" w:type="pct"/>
            <w:tcBorders>
              <w:top w:val="single" w:sz="4" w:space="0" w:color="auto"/>
              <w:bottom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broker, Facultative In and direct account types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>Bank account selected at point of receipting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>Facultative Out Receipts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Facultative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Bank (Asset) 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Facultative Control account in FMS system from the External interfaces under Facultative out account type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Bank account selected at point of receipting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Out Payments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Reversal of receipt above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EB3E77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Receipts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Treaty control Account (Expense) DR: Bank (Asset) 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Treaty Control account in FMS system from the External interfaces under Treaty type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Bank account selected at point of receipting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Payments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Reversal of receipt above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Receipts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Pool control Account (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ExpenseDR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: Bank (Asset) 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Pool Control account in FMS system from the External interfaces under Pool type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Bank account selected at point of receipting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Payments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Reversal of receipt above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Receipts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Co-insurers control Account (Expense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Bank (Asset) 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Co-insurers Control account in FMS system from the External interfaces under Co-insurers account type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Bank account selected at point of receipting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Coinsurance Payments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Reversal of receipt above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Commission Payment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Account Type control Account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{Parameterised: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DR: Commission Payable Accounts (Liability) }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Bank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broker, Facultative In and direct account types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Bank account selected at point of receipting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Write – In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Account Type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Write - off Accounts in GL (Income)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broker, Facultative In and direct account types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Write - off Accounts is specified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</w:tc>
      </w:tr>
      <w:tr w:rsidR="00EB3E77" w:rsidRPr="001055FC" w:rsidTr="001055FC">
        <w:trPr>
          <w:trHeight w:val="1088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Write Offs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</w:tcPr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Account Type control Account (Asset) </w:t>
            </w:r>
          </w:p>
          <w:p w:rsidR="00EB3E77" w:rsidRPr="001055FC" w:rsidRDefault="00EB3E77" w:rsidP="00DC75D5">
            <w:pPr>
              <w:ind w:left="296" w:hanging="296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Write - off Accounts in GL (Expense)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A control account in FMS system from the External interfaces under agents, broker, Facultative In and direct account types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Write - off Accounts is specified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is mapped as </w:t>
            </w:r>
            <w:proofErr w:type="spellStart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- code</w:t>
            </w:r>
            <w:r w:rsidRPr="001055FC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(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GL Account) 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Survey &amp; Valuation Fees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CR: Bank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Valuation Expense (Expense)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Valuation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(GL Account)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Bank account is mapped in FMS system from the External interfaces screen as </w:t>
            </w:r>
            <w:proofErr w:type="gramStart"/>
            <w:r w:rsidRPr="001055FC">
              <w:rPr>
                <w:rFonts w:ascii="Tahoma" w:hAnsi="Tahoma" w:cs="Tahoma"/>
                <w:sz w:val="20"/>
                <w:szCs w:val="20"/>
              </w:rPr>
              <w:t>trans</w:t>
            </w:r>
            <w:proofErr w:type="gram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type SUR under the GIS </w:t>
            </w: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system.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  <w:vMerge w:val="restar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Un - Earned Premium Reserves (UPR) 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Gross UPR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UPR expense account (Expense)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UPR liability account (Liability)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UPR expense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UPR liability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t>is mapped as a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in UPR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DR:UPR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expense account (Expense)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UPR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liability account (Liability)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UPR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expense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- code 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UPR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liability account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1055FC">
              <w:rPr>
                <w:rFonts w:ascii="Tahoma" w:hAnsi="Tahoma" w:cs="Tahoma"/>
                <w:sz w:val="20"/>
                <w:szCs w:val="20"/>
              </w:rPr>
              <w:t>is mapped as a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UPR</w:t>
            </w:r>
          </w:p>
        </w:tc>
        <w:tc>
          <w:tcPr>
            <w:tcW w:w="1135" w:type="pct"/>
            <w:tcBorders>
              <w:top w:val="single" w:sz="4" w:space="0" w:color="auto"/>
            </w:tcBorders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UPR treaty liability account (Liability)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 CR: UPR treaty expense account (Expense) </w:t>
            </w:r>
          </w:p>
        </w:tc>
        <w:tc>
          <w:tcPr>
            <w:tcW w:w="1993" w:type="pct"/>
            <w:tcBorders>
              <w:top w:val="single" w:sz="4" w:space="0" w:color="auto"/>
            </w:tcBorders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UPR treaty liability account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t xml:space="preserve">is mapped as a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account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UPR treaty expense </w:t>
            </w:r>
            <w:r w:rsidRPr="001055FC">
              <w:rPr>
                <w:rFonts w:ascii="Tahoma" w:hAnsi="Tahoma" w:cs="Tahoma"/>
                <w:color w:val="000000"/>
                <w:sz w:val="20"/>
                <w:szCs w:val="20"/>
              </w:rPr>
              <w:t xml:space="preserve">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t>is mapped as a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Facultative out UPR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UPR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liability (Liability)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 :UPR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expense account (Expense)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UPR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liability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code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expense account is mapped as a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  <w:vMerge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Pool UPR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DR:UPR pool liability account (Liability)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CR:UPR Pool expense account (Expense)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UPR pool liability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code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UPR Pool expense account is mapped as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Un - Earned Commission (UCR) </w:t>
            </w: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Gross UCR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UCR liability account (Liability)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UCR expense account (Liability)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UCR liability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code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UCR expense account is mapped as the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Facultative in UCR 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 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liability account (Liability)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 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expense account (Expense)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liability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code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expense account is mapped as a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UCR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expense account (Expense)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out liability account (Liability)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expense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code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UCR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Facre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in liability account is mapped as a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Treaty UCR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DR:UCR treaty expense account (Expense)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CR:UCR treaty liability account (Liability)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UCR treaty expense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code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>UCR treaty in liability account is mapped as a contra account</w:t>
            </w:r>
          </w:p>
        </w:tc>
      </w:tr>
      <w:tr w:rsidR="00EB3E77" w:rsidRPr="001055FC" w:rsidTr="001055FC">
        <w:trPr>
          <w:trHeight w:val="20"/>
        </w:trPr>
        <w:tc>
          <w:tcPr>
            <w:tcW w:w="1219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3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Pool UCR </w:t>
            </w:r>
          </w:p>
        </w:tc>
        <w:tc>
          <w:tcPr>
            <w:tcW w:w="1135" w:type="pct"/>
          </w:tcPr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DR:UCR Pool expense account </w:t>
            </w: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(expense) </w:t>
            </w:r>
          </w:p>
          <w:p w:rsidR="00EB3E77" w:rsidRPr="001055FC" w:rsidRDefault="00EB3E77" w:rsidP="00DC75D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t xml:space="preserve">CR:UCR Pool liability account (Liability) </w:t>
            </w:r>
          </w:p>
        </w:tc>
        <w:tc>
          <w:tcPr>
            <w:tcW w:w="1993" w:type="pct"/>
          </w:tcPr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 xml:space="preserve">UCR Pool expense account is mapped as </w:t>
            </w:r>
            <w:proofErr w:type="spellStart"/>
            <w:r w:rsidRPr="001055FC">
              <w:rPr>
                <w:rFonts w:ascii="Tahoma" w:hAnsi="Tahoma" w:cs="Tahoma"/>
                <w:sz w:val="20"/>
                <w:szCs w:val="20"/>
              </w:rPr>
              <w:t>gl</w:t>
            </w:r>
            <w:proofErr w:type="spellEnd"/>
            <w:r w:rsidRPr="001055FC">
              <w:rPr>
                <w:rFonts w:ascii="Tahoma" w:hAnsi="Tahoma" w:cs="Tahoma"/>
                <w:sz w:val="20"/>
                <w:szCs w:val="20"/>
              </w:rPr>
              <w:t xml:space="preserve"> code</w:t>
            </w:r>
          </w:p>
          <w:p w:rsidR="00EB3E77" w:rsidRPr="001055FC" w:rsidRDefault="00EB3E77" w:rsidP="001055F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055FC">
              <w:rPr>
                <w:rFonts w:ascii="Tahoma" w:hAnsi="Tahoma" w:cs="Tahoma"/>
                <w:sz w:val="20"/>
                <w:szCs w:val="20"/>
              </w:rPr>
              <w:lastRenderedPageBreak/>
              <w:t>UCR Pool in liability account is mapped as a contra account</w:t>
            </w:r>
          </w:p>
        </w:tc>
      </w:tr>
    </w:tbl>
    <w:p w:rsidR="00EB3E77" w:rsidRPr="001055FC" w:rsidRDefault="00EB3E77" w:rsidP="00EB3E77">
      <w:pPr>
        <w:jc w:val="both"/>
        <w:rPr>
          <w:rFonts w:ascii="Tahoma" w:hAnsi="Tahoma" w:cs="Tahoma"/>
          <w:sz w:val="20"/>
          <w:szCs w:val="20"/>
        </w:rPr>
      </w:pPr>
    </w:p>
    <w:p w:rsidR="00EB3E77" w:rsidRPr="001055FC" w:rsidRDefault="00EB3E77" w:rsidP="00EB3E77">
      <w:pPr>
        <w:pStyle w:val="Heading2"/>
        <w:numPr>
          <w:ilvl w:val="0"/>
          <w:numId w:val="0"/>
        </w:numPr>
        <w:ind w:left="576"/>
        <w:jc w:val="both"/>
        <w:rPr>
          <w:rFonts w:ascii="Tahoma" w:hAnsi="Tahoma" w:cs="Tahoma"/>
          <w:sz w:val="20"/>
          <w:szCs w:val="20"/>
        </w:rPr>
      </w:pPr>
    </w:p>
    <w:p w:rsidR="00F3487E" w:rsidRPr="001055FC" w:rsidRDefault="00F3487E" w:rsidP="00EB3E77">
      <w:pPr>
        <w:rPr>
          <w:rFonts w:ascii="Tahoma" w:hAnsi="Tahoma" w:cs="Tahoma"/>
          <w:sz w:val="20"/>
          <w:szCs w:val="20"/>
        </w:rPr>
      </w:pPr>
    </w:p>
    <w:sectPr w:rsidR="00F3487E" w:rsidRPr="001055FC" w:rsidSect="00EB3E7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09DC7A00"/>
    <w:lvl w:ilvl="0">
      <w:start w:val="1"/>
      <w:numFmt w:val="bullet"/>
      <w:pStyle w:val="zreportaddinfo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8"/>
        <w:szCs w:val="18"/>
      </w:rPr>
    </w:lvl>
  </w:abstractNum>
  <w:abstractNum w:abstractNumId="1">
    <w:nsid w:val="02AD6666"/>
    <w:multiLevelType w:val="hybridMultilevel"/>
    <w:tmpl w:val="7212A1CE"/>
    <w:lvl w:ilvl="0" w:tplc="12300CB2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FC20DD"/>
    <w:multiLevelType w:val="hybridMultilevel"/>
    <w:tmpl w:val="5B3A1972"/>
    <w:lvl w:ilvl="0" w:tplc="0BCE2DD6">
      <w:start w:val="1"/>
      <w:numFmt w:val="bullet"/>
      <w:pStyle w:val="Bullets-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1A38"/>
    <w:multiLevelType w:val="hybridMultilevel"/>
    <w:tmpl w:val="C77EBF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7E3D4A"/>
    <w:multiLevelType w:val="hybridMultilevel"/>
    <w:tmpl w:val="E00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23FF6"/>
    <w:multiLevelType w:val="hybridMultilevel"/>
    <w:tmpl w:val="4148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BB2BF2"/>
    <w:multiLevelType w:val="multilevel"/>
    <w:tmpl w:val="F866F956"/>
    <w:lvl w:ilvl="0">
      <w:start w:val="1"/>
      <w:numFmt w:val="decimal"/>
      <w:pStyle w:val="Heading2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5364B1D"/>
    <w:multiLevelType w:val="hybridMultilevel"/>
    <w:tmpl w:val="21004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NormalBullete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4C424E"/>
    <w:multiLevelType w:val="multilevel"/>
    <w:tmpl w:val="054EFF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ullets2-Nor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E766F3C"/>
    <w:multiLevelType w:val="hybridMultilevel"/>
    <w:tmpl w:val="6254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003A1"/>
    <w:multiLevelType w:val="multilevel"/>
    <w:tmpl w:val="F080281C"/>
    <w:styleLink w:val="NormalBullet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C28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BDB5675"/>
    <w:multiLevelType w:val="hybridMultilevel"/>
    <w:tmpl w:val="9DC2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B3E77"/>
    <w:rsid w:val="001055FC"/>
    <w:rsid w:val="00EB3E77"/>
    <w:rsid w:val="00F3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77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B3E77"/>
    <w:pPr>
      <w:keepNext/>
      <w:keepLines/>
      <w:numPr>
        <w:numId w:val="11"/>
      </w:numPr>
      <w:outlineLvl w:val="0"/>
    </w:pPr>
    <w:rPr>
      <w:b/>
      <w:kern w:val="28"/>
      <w:sz w:val="28"/>
      <w:szCs w:val="28"/>
      <w:lang/>
    </w:rPr>
  </w:style>
  <w:style w:type="paragraph" w:styleId="Heading2">
    <w:name w:val="heading 2"/>
    <w:aliases w:val="Reset numbering"/>
    <w:basedOn w:val="Normal"/>
    <w:next w:val="Normal"/>
    <w:link w:val="Heading2Char"/>
    <w:qFormat/>
    <w:rsid w:val="00EB3E77"/>
    <w:pPr>
      <w:keepNext/>
      <w:numPr>
        <w:ilvl w:val="1"/>
        <w:numId w:val="11"/>
      </w:numPr>
      <w:outlineLvl w:val="1"/>
    </w:pPr>
    <w:rPr>
      <w:b/>
      <w:caps/>
      <w:lang/>
    </w:rPr>
  </w:style>
  <w:style w:type="paragraph" w:styleId="Heading3">
    <w:name w:val="heading 3"/>
    <w:aliases w:val="Section heading level 1,Section Heading Level 1,Level 1 - 1 + 12 pt..."/>
    <w:basedOn w:val="Normal"/>
    <w:next w:val="Normal"/>
    <w:link w:val="Heading3Char"/>
    <w:qFormat/>
    <w:rsid w:val="00EB3E77"/>
    <w:pPr>
      <w:keepNext/>
      <w:numPr>
        <w:ilvl w:val="2"/>
        <w:numId w:val="11"/>
      </w:numPr>
      <w:outlineLvl w:val="2"/>
    </w:pPr>
    <w:rPr>
      <w:b/>
      <w:lang/>
    </w:rPr>
  </w:style>
  <w:style w:type="paragraph" w:styleId="Heading4">
    <w:name w:val="heading 4"/>
    <w:basedOn w:val="Normal"/>
    <w:next w:val="Normal"/>
    <w:link w:val="Heading4Char"/>
    <w:qFormat/>
    <w:rsid w:val="00EB3E77"/>
    <w:pPr>
      <w:keepNext/>
      <w:numPr>
        <w:ilvl w:val="3"/>
        <w:numId w:val="11"/>
      </w:numPr>
      <w:spacing w:before="240" w:after="60"/>
      <w:outlineLvl w:val="3"/>
    </w:pPr>
    <w:rPr>
      <w:b/>
      <w:lang/>
    </w:rPr>
  </w:style>
  <w:style w:type="paragraph" w:styleId="Heading5">
    <w:name w:val="heading 5"/>
    <w:aliases w:val="Section heading level 3,Section Heading Level 3,Level 3 - i"/>
    <w:basedOn w:val="Normal"/>
    <w:next w:val="Normal"/>
    <w:link w:val="Heading5Char"/>
    <w:qFormat/>
    <w:rsid w:val="00EB3E77"/>
    <w:pPr>
      <w:numPr>
        <w:ilvl w:val="4"/>
        <w:numId w:val="11"/>
      </w:numPr>
      <w:spacing w:before="240" w:after="60"/>
      <w:outlineLvl w:val="4"/>
    </w:pPr>
    <w:rPr>
      <w:b/>
      <w:sz w:val="22"/>
      <w:lang/>
    </w:rPr>
  </w:style>
  <w:style w:type="paragraph" w:styleId="Heading6">
    <w:name w:val="heading 6"/>
    <w:aliases w:val="Section Heading Level 4,(Not Used),Section Heading  Level 1.,Legal Level 1."/>
    <w:basedOn w:val="Normal"/>
    <w:next w:val="Normal"/>
    <w:link w:val="Heading6Char"/>
    <w:qFormat/>
    <w:rsid w:val="00EB3E77"/>
    <w:pPr>
      <w:numPr>
        <w:ilvl w:val="5"/>
        <w:numId w:val="11"/>
      </w:numPr>
      <w:spacing w:before="240" w:after="60"/>
      <w:outlineLvl w:val="5"/>
    </w:pPr>
    <w:rPr>
      <w:b/>
      <w:i/>
      <w:sz w:val="22"/>
      <w:lang/>
    </w:rPr>
  </w:style>
  <w:style w:type="paragraph" w:styleId="Heading7">
    <w:name w:val="heading 7"/>
    <w:basedOn w:val="Normal"/>
    <w:next w:val="Normal"/>
    <w:link w:val="Heading7Char"/>
    <w:qFormat/>
    <w:rsid w:val="00EB3E77"/>
    <w:pPr>
      <w:numPr>
        <w:ilvl w:val="6"/>
        <w:numId w:val="11"/>
      </w:numPr>
      <w:spacing w:before="240" w:after="60"/>
      <w:outlineLvl w:val="6"/>
    </w:pPr>
    <w:rPr>
      <w:rFonts w:ascii="Arial" w:hAnsi="Arial"/>
      <w:sz w:val="20"/>
      <w:lang/>
    </w:rPr>
  </w:style>
  <w:style w:type="paragraph" w:styleId="Heading8">
    <w:name w:val="heading 8"/>
    <w:basedOn w:val="Normal"/>
    <w:next w:val="Normal"/>
    <w:link w:val="Heading8Char"/>
    <w:qFormat/>
    <w:rsid w:val="00EB3E77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 w:val="20"/>
      <w:lang/>
    </w:rPr>
  </w:style>
  <w:style w:type="paragraph" w:styleId="Heading9">
    <w:name w:val="heading 9"/>
    <w:basedOn w:val="Normal"/>
    <w:next w:val="Normal"/>
    <w:link w:val="Heading9Char"/>
    <w:qFormat/>
    <w:rsid w:val="00EB3E77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3E77"/>
    <w:rPr>
      <w:rFonts w:ascii="Cambria" w:eastAsia="Times New Roman" w:hAnsi="Cambria" w:cs="Times New Roman"/>
      <w:b/>
      <w:kern w:val="28"/>
      <w:sz w:val="28"/>
      <w:szCs w:val="28"/>
      <w:lang/>
    </w:rPr>
  </w:style>
  <w:style w:type="character" w:customStyle="1" w:styleId="Heading2Char">
    <w:name w:val="Heading 2 Char"/>
    <w:aliases w:val="Reset numbering Char"/>
    <w:basedOn w:val="DefaultParagraphFont"/>
    <w:link w:val="Heading2"/>
    <w:rsid w:val="00EB3E77"/>
    <w:rPr>
      <w:rFonts w:ascii="Cambria" w:eastAsia="Times New Roman" w:hAnsi="Cambria" w:cs="Times New Roman"/>
      <w:b/>
      <w:caps/>
      <w:sz w:val="24"/>
      <w:szCs w:val="24"/>
      <w:lang/>
    </w:rPr>
  </w:style>
  <w:style w:type="character" w:customStyle="1" w:styleId="Heading3Char">
    <w:name w:val="Heading 3 Char"/>
    <w:aliases w:val="Section heading level 1 Char,Section Heading Level 1 Char,Level 1 - 1 + 12 pt... Char"/>
    <w:basedOn w:val="DefaultParagraphFont"/>
    <w:link w:val="Heading3"/>
    <w:rsid w:val="00EB3E77"/>
    <w:rPr>
      <w:rFonts w:ascii="Cambria" w:eastAsia="Times New Roman" w:hAnsi="Cambria" w:cs="Times New Roman"/>
      <w:b/>
      <w:sz w:val="24"/>
      <w:szCs w:val="24"/>
      <w:lang/>
    </w:rPr>
  </w:style>
  <w:style w:type="character" w:customStyle="1" w:styleId="Heading4Char">
    <w:name w:val="Heading 4 Char"/>
    <w:basedOn w:val="DefaultParagraphFont"/>
    <w:link w:val="Heading4"/>
    <w:rsid w:val="00EB3E77"/>
    <w:rPr>
      <w:rFonts w:ascii="Cambria" w:eastAsia="Times New Roman" w:hAnsi="Cambria" w:cs="Times New Roman"/>
      <w:b/>
      <w:sz w:val="24"/>
      <w:szCs w:val="24"/>
      <w:lang/>
    </w:rPr>
  </w:style>
  <w:style w:type="character" w:customStyle="1" w:styleId="Heading5Char">
    <w:name w:val="Heading 5 Char"/>
    <w:aliases w:val="Section heading level 3 Char,Section Heading Level 3 Char,Level 3 - i Char"/>
    <w:basedOn w:val="DefaultParagraphFont"/>
    <w:link w:val="Heading5"/>
    <w:rsid w:val="00EB3E77"/>
    <w:rPr>
      <w:rFonts w:ascii="Cambria" w:eastAsia="Times New Roman" w:hAnsi="Cambria" w:cs="Times New Roman"/>
      <w:b/>
      <w:szCs w:val="24"/>
      <w:lang/>
    </w:rPr>
  </w:style>
  <w:style w:type="character" w:customStyle="1" w:styleId="Heading6Char">
    <w:name w:val="Heading 6 Char"/>
    <w:aliases w:val="Section Heading Level 4 Char,(Not Used) Char,Section Heading  Level 1. Char,Legal Level 1. Char"/>
    <w:basedOn w:val="DefaultParagraphFont"/>
    <w:link w:val="Heading6"/>
    <w:rsid w:val="00EB3E77"/>
    <w:rPr>
      <w:rFonts w:ascii="Cambria" w:eastAsia="Times New Roman" w:hAnsi="Cambria" w:cs="Times New Roman"/>
      <w:b/>
      <w:i/>
      <w:szCs w:val="24"/>
      <w:lang/>
    </w:rPr>
  </w:style>
  <w:style w:type="character" w:customStyle="1" w:styleId="Heading7Char">
    <w:name w:val="Heading 7 Char"/>
    <w:basedOn w:val="DefaultParagraphFont"/>
    <w:link w:val="Heading7"/>
    <w:rsid w:val="00EB3E77"/>
    <w:rPr>
      <w:rFonts w:ascii="Arial" w:eastAsia="Times New Roman" w:hAnsi="Arial" w:cs="Times New Roman"/>
      <w:sz w:val="20"/>
      <w:szCs w:val="24"/>
      <w:lang/>
    </w:rPr>
  </w:style>
  <w:style w:type="character" w:customStyle="1" w:styleId="Heading8Char">
    <w:name w:val="Heading 8 Char"/>
    <w:basedOn w:val="DefaultParagraphFont"/>
    <w:link w:val="Heading8"/>
    <w:rsid w:val="00EB3E77"/>
    <w:rPr>
      <w:rFonts w:ascii="Arial" w:eastAsia="Times New Roman" w:hAnsi="Arial" w:cs="Times New Roman"/>
      <w:i/>
      <w:sz w:val="20"/>
      <w:szCs w:val="24"/>
      <w:lang/>
    </w:rPr>
  </w:style>
  <w:style w:type="character" w:customStyle="1" w:styleId="Heading9Char">
    <w:name w:val="Heading 9 Char"/>
    <w:basedOn w:val="DefaultParagraphFont"/>
    <w:link w:val="Heading9"/>
    <w:rsid w:val="00EB3E77"/>
    <w:rPr>
      <w:rFonts w:ascii="Arial" w:eastAsia="Times New Roman" w:hAnsi="Arial" w:cs="Times New Roman"/>
      <w:b/>
      <w:i/>
      <w:sz w:val="18"/>
      <w:szCs w:val="24"/>
      <w:lang/>
    </w:rPr>
  </w:style>
  <w:style w:type="character" w:styleId="Emphasis">
    <w:name w:val="Emphasis"/>
    <w:qFormat/>
    <w:rsid w:val="00EB3E77"/>
    <w:rPr>
      <w:i/>
      <w:iCs/>
    </w:rPr>
  </w:style>
  <w:style w:type="paragraph" w:styleId="NormalWeb">
    <w:name w:val="Normal (Web)"/>
    <w:basedOn w:val="Normal"/>
    <w:uiPriority w:val="99"/>
    <w:rsid w:val="00EB3E7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EB3E77"/>
    <w:pPr>
      <w:tabs>
        <w:tab w:val="center" w:pos="4680"/>
        <w:tab w:val="right" w:pos="9360"/>
      </w:tabs>
    </w:pPr>
    <w:rPr>
      <w:rFonts w:ascii="Tahoma" w:hAnsi="Tahoma"/>
      <w:lang w:val="en-US"/>
    </w:rPr>
  </w:style>
  <w:style w:type="character" w:customStyle="1" w:styleId="HeaderChar">
    <w:name w:val="Header Char"/>
    <w:basedOn w:val="DefaultParagraphFont"/>
    <w:link w:val="Header"/>
    <w:rsid w:val="00EB3E77"/>
    <w:rPr>
      <w:rFonts w:ascii="Tahoma" w:eastAsia="Times New Roman" w:hAnsi="Tahoma" w:cs="Times New Roman"/>
      <w:sz w:val="24"/>
      <w:szCs w:val="24"/>
      <w:lang/>
    </w:rPr>
  </w:style>
  <w:style w:type="paragraph" w:styleId="Footer">
    <w:name w:val="footer"/>
    <w:basedOn w:val="Normal"/>
    <w:link w:val="FooterChar"/>
    <w:uiPriority w:val="99"/>
    <w:unhideWhenUsed/>
    <w:rsid w:val="00EB3E77"/>
    <w:pPr>
      <w:tabs>
        <w:tab w:val="center" w:pos="4680"/>
        <w:tab w:val="right" w:pos="9360"/>
      </w:tabs>
    </w:pPr>
    <w:rPr>
      <w:rFonts w:ascii="Tahoma" w:hAnsi="Tahom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B3E77"/>
    <w:rPr>
      <w:rFonts w:ascii="Tahoma" w:eastAsia="Times New Roman" w:hAnsi="Tahoma" w:cs="Times New Roman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77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77"/>
    <w:rPr>
      <w:rFonts w:ascii="Tahoma" w:eastAsia="Times New Roman" w:hAnsi="Tahoma" w:cs="Times New Roman"/>
      <w:sz w:val="16"/>
      <w:szCs w:val="16"/>
      <w:lang/>
    </w:rPr>
  </w:style>
  <w:style w:type="paragraph" w:styleId="TOCHeading">
    <w:name w:val="TOC Heading"/>
    <w:basedOn w:val="Heading1"/>
    <w:next w:val="Normal"/>
    <w:uiPriority w:val="39"/>
    <w:unhideWhenUsed/>
    <w:qFormat/>
    <w:rsid w:val="00EB3E77"/>
    <w:pPr>
      <w:numPr>
        <w:numId w:val="0"/>
      </w:numPr>
      <w:spacing w:before="480" w:line="276" w:lineRule="auto"/>
      <w:outlineLvl w:val="9"/>
    </w:pPr>
    <w:rPr>
      <w:bCs/>
      <w:color w:val="365F91"/>
      <w:kern w:val="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3E77"/>
    <w:pPr>
      <w:tabs>
        <w:tab w:val="left" w:pos="480"/>
        <w:tab w:val="right" w:leader="dot" w:pos="9350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3E7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B3E77"/>
    <w:pPr>
      <w:ind w:left="480"/>
    </w:pPr>
  </w:style>
  <w:style w:type="character" w:styleId="Hyperlink">
    <w:name w:val="Hyperlink"/>
    <w:uiPriority w:val="99"/>
    <w:unhideWhenUsed/>
    <w:rsid w:val="00EB3E77"/>
    <w:rPr>
      <w:color w:val="0000FF"/>
      <w:u w:val="single"/>
    </w:rPr>
  </w:style>
  <w:style w:type="paragraph" w:customStyle="1" w:styleId="NormalBulleted">
    <w:name w:val="Normal (Bulleted)"/>
    <w:basedOn w:val="Normal"/>
    <w:rsid w:val="00EB3E77"/>
    <w:pPr>
      <w:numPr>
        <w:ilvl w:val="2"/>
        <w:numId w:val="4"/>
      </w:numPr>
      <w:jc w:val="both"/>
    </w:pPr>
  </w:style>
  <w:style w:type="paragraph" w:styleId="TOC9">
    <w:name w:val="toc 9"/>
    <w:basedOn w:val="Normal"/>
    <w:next w:val="Normal"/>
    <w:autoRedefine/>
    <w:uiPriority w:val="39"/>
    <w:unhideWhenUsed/>
    <w:rsid w:val="00EB3E77"/>
    <w:pPr>
      <w:ind w:left="1920"/>
    </w:pPr>
  </w:style>
  <w:style w:type="paragraph" w:styleId="BodyText">
    <w:name w:val="Body Text"/>
    <w:basedOn w:val="Normal"/>
    <w:link w:val="BodyTextChar"/>
    <w:unhideWhenUsed/>
    <w:rsid w:val="00EB3E77"/>
    <w:rPr>
      <w:rFonts w:ascii="Tahoma" w:hAnsi="Tahoma"/>
      <w:lang w:val="en-US"/>
    </w:rPr>
  </w:style>
  <w:style w:type="character" w:customStyle="1" w:styleId="BodyTextChar">
    <w:name w:val="Body Text Char"/>
    <w:basedOn w:val="DefaultParagraphFont"/>
    <w:link w:val="BodyText"/>
    <w:rsid w:val="00EB3E77"/>
    <w:rPr>
      <w:rFonts w:ascii="Tahoma" w:eastAsia="Times New Roman" w:hAnsi="Tahoma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EB3E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ullets-Normal">
    <w:name w:val="Bullets - Normal"/>
    <w:basedOn w:val="Normal"/>
    <w:link w:val="Bullets-NormalChar"/>
    <w:qFormat/>
    <w:rsid w:val="00EB3E77"/>
    <w:pPr>
      <w:numPr>
        <w:numId w:val="5"/>
      </w:numPr>
      <w:jc w:val="both"/>
    </w:pPr>
    <w:rPr>
      <w:lang/>
    </w:rPr>
  </w:style>
  <w:style w:type="paragraph" w:customStyle="1" w:styleId="Normal-Numbered">
    <w:name w:val="Normal - Numbered"/>
    <w:basedOn w:val="Normal"/>
    <w:qFormat/>
    <w:rsid w:val="00EB3E77"/>
    <w:pPr>
      <w:tabs>
        <w:tab w:val="num" w:pos="720"/>
      </w:tabs>
      <w:ind w:left="720" w:hanging="360"/>
      <w:jc w:val="both"/>
    </w:pPr>
    <w:rPr>
      <w:rFonts w:cs="Tahoma"/>
    </w:rPr>
  </w:style>
  <w:style w:type="character" w:customStyle="1" w:styleId="Bullets-NormalChar">
    <w:name w:val="Bullets - Normal Char"/>
    <w:link w:val="Bullets-Normal"/>
    <w:rsid w:val="00EB3E77"/>
    <w:rPr>
      <w:rFonts w:ascii="Cambria" w:eastAsia="Times New Roman" w:hAnsi="Cambria" w:cs="Times New Roman"/>
      <w:sz w:val="24"/>
      <w:szCs w:val="24"/>
      <w:lang/>
    </w:rPr>
  </w:style>
  <w:style w:type="table" w:styleId="TableGrid">
    <w:name w:val="Table Grid"/>
    <w:basedOn w:val="TableNormal"/>
    <w:uiPriority w:val="59"/>
    <w:rsid w:val="00EB3E7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EB3E77"/>
    <w:pPr>
      <w:spacing w:before="240" w:after="60"/>
      <w:jc w:val="center"/>
      <w:outlineLvl w:val="0"/>
    </w:pPr>
    <w:rPr>
      <w:b/>
      <w:bCs/>
      <w:kern w:val="28"/>
      <w:sz w:val="32"/>
      <w:szCs w:val="32"/>
      <w:lang/>
    </w:rPr>
  </w:style>
  <w:style w:type="character" w:customStyle="1" w:styleId="TitleChar">
    <w:name w:val="Title Char"/>
    <w:basedOn w:val="DefaultParagraphFont"/>
    <w:link w:val="Title"/>
    <w:rsid w:val="00EB3E77"/>
    <w:rPr>
      <w:rFonts w:ascii="Cambria" w:eastAsia="Times New Roman" w:hAnsi="Cambria" w:cs="Times New Roman"/>
      <w:b/>
      <w:bCs/>
      <w:kern w:val="28"/>
      <w:sz w:val="32"/>
      <w:szCs w:val="32"/>
      <w:lang/>
    </w:rPr>
  </w:style>
  <w:style w:type="paragraph" w:customStyle="1" w:styleId="msonospacing0">
    <w:name w:val="msonospacing"/>
    <w:uiPriority w:val="99"/>
    <w:rsid w:val="00EB3E77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TitleChar1">
    <w:name w:val="Title Char1"/>
    <w:uiPriority w:val="10"/>
    <w:rsid w:val="00EB3E7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tableborder">
    <w:name w:val="tableborder"/>
    <w:basedOn w:val="Normal"/>
    <w:uiPriority w:val="99"/>
    <w:rsid w:val="00EB3E77"/>
    <w:pPr>
      <w:shd w:val="clear" w:color="auto" w:fill="FFFFFF"/>
      <w:spacing w:before="100" w:beforeAutospacing="1" w:after="100" w:afterAutospacing="1"/>
    </w:pPr>
    <w:rPr>
      <w:rFonts w:ascii="Times New Roman" w:hAnsi="Times New Roman"/>
    </w:rPr>
  </w:style>
  <w:style w:type="paragraph" w:customStyle="1" w:styleId="grid">
    <w:name w:val="grid"/>
    <w:basedOn w:val="Normal"/>
    <w:uiPriority w:val="99"/>
    <w:rsid w:val="00EB3E77"/>
    <w:pPr>
      <w:shd w:val="clear" w:color="auto" w:fill="FFFFFF"/>
      <w:spacing w:before="100" w:beforeAutospacing="1" w:after="100" w:afterAutospacing="1"/>
    </w:pPr>
    <w:rPr>
      <w:rFonts w:ascii="Times New Roman" w:hAnsi="Times New Roman"/>
    </w:rPr>
  </w:style>
  <w:style w:type="paragraph" w:customStyle="1" w:styleId="tablabel">
    <w:name w:val="tablabel"/>
    <w:basedOn w:val="Normal"/>
    <w:uiPriority w:val="99"/>
    <w:rsid w:val="00EB3E77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subtext">
    <w:name w:val="subtext"/>
    <w:basedOn w:val="Normal"/>
    <w:uiPriority w:val="99"/>
    <w:rsid w:val="00EB3E7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nopadding">
    <w:name w:val="nopadding"/>
    <w:basedOn w:val="Normal"/>
    <w:uiPriority w:val="99"/>
    <w:rsid w:val="00EB3E7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ubtext1">
    <w:name w:val="subtext1"/>
    <w:basedOn w:val="Normal"/>
    <w:uiPriority w:val="99"/>
    <w:rsid w:val="00EB3E77"/>
    <w:pPr>
      <w:spacing w:before="100" w:beforeAutospacing="1" w:after="100" w:afterAutospacing="1"/>
    </w:pPr>
    <w:rPr>
      <w:rFonts w:ascii="Times New Roman" w:hAnsi="Times New Roman"/>
      <w:sz w:val="14"/>
      <w:szCs w:val="14"/>
    </w:rPr>
  </w:style>
  <w:style w:type="paragraph" w:styleId="TOC4">
    <w:name w:val="toc 4"/>
    <w:basedOn w:val="Normal"/>
    <w:next w:val="Normal"/>
    <w:autoRedefine/>
    <w:uiPriority w:val="39"/>
    <w:rsid w:val="00EB3E77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3E77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B3E77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3E77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3E77"/>
    <w:pPr>
      <w:ind w:left="1540"/>
    </w:pPr>
    <w:rPr>
      <w:rFonts w:ascii="Times New Roman" w:hAnsi="Times New Roman"/>
      <w:sz w:val="18"/>
      <w:szCs w:val="18"/>
    </w:rPr>
  </w:style>
  <w:style w:type="paragraph" w:styleId="BodyText3">
    <w:name w:val="Body Text 3"/>
    <w:basedOn w:val="Normal"/>
    <w:link w:val="BodyText3Char"/>
    <w:semiHidden/>
    <w:rsid w:val="00EB3E77"/>
    <w:rPr>
      <w:rFonts w:ascii="Times New Roman" w:hAnsi="Times New Roman"/>
      <w:sz w:val="16"/>
      <w:szCs w:val="20"/>
      <w:lang/>
    </w:rPr>
  </w:style>
  <w:style w:type="character" w:customStyle="1" w:styleId="BodyText3Char">
    <w:name w:val="Body Text 3 Char"/>
    <w:basedOn w:val="DefaultParagraphFont"/>
    <w:link w:val="BodyText3"/>
    <w:semiHidden/>
    <w:rsid w:val="00EB3E77"/>
    <w:rPr>
      <w:rFonts w:ascii="Times New Roman" w:eastAsia="Times New Roman" w:hAnsi="Times New Roman" w:cs="Times New Roman"/>
      <w:sz w:val="16"/>
      <w:szCs w:val="20"/>
      <w:lang/>
    </w:rPr>
  </w:style>
  <w:style w:type="paragraph" w:styleId="BodyText2">
    <w:name w:val="Body Text 2"/>
    <w:basedOn w:val="Normal"/>
    <w:link w:val="BodyText2Char"/>
    <w:rsid w:val="00EB3E77"/>
    <w:rPr>
      <w:rFonts w:ascii="Times New Roman" w:hAnsi="Times New Roman"/>
      <w:sz w:val="18"/>
      <w:szCs w:val="20"/>
      <w:lang/>
    </w:rPr>
  </w:style>
  <w:style w:type="character" w:customStyle="1" w:styleId="BodyText2Char">
    <w:name w:val="Body Text 2 Char"/>
    <w:basedOn w:val="DefaultParagraphFont"/>
    <w:link w:val="BodyText2"/>
    <w:rsid w:val="00EB3E77"/>
    <w:rPr>
      <w:rFonts w:ascii="Times New Roman" w:eastAsia="Times New Roman" w:hAnsi="Times New Roman" w:cs="Times New Roman"/>
      <w:sz w:val="18"/>
      <w:szCs w:val="20"/>
      <w:lang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B3E77"/>
    <w:pPr>
      <w:ind w:left="360"/>
    </w:pPr>
    <w:rPr>
      <w:rFonts w:ascii="Tahoma" w:hAnsi="Tahoma"/>
      <w:lang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B3E77"/>
    <w:rPr>
      <w:rFonts w:ascii="Tahoma" w:eastAsia="Times New Roman" w:hAnsi="Tahoma" w:cs="Times New Roman"/>
      <w:sz w:val="24"/>
      <w:szCs w:val="24"/>
      <w:lang/>
    </w:rPr>
  </w:style>
  <w:style w:type="paragraph" w:customStyle="1" w:styleId="Heading51">
    <w:name w:val="Heading 51"/>
    <w:basedOn w:val="Heading5"/>
    <w:next w:val="Heading4"/>
    <w:autoRedefine/>
    <w:qFormat/>
    <w:rsid w:val="00EB3E77"/>
    <w:pPr>
      <w:numPr>
        <w:ilvl w:val="0"/>
        <w:numId w:val="0"/>
      </w:numPr>
      <w:spacing w:before="0" w:after="0"/>
      <w:ind w:left="1008" w:hanging="1008"/>
    </w:pPr>
    <w:rPr>
      <w:rFonts w:eastAsia="MS Mincho"/>
      <w:sz w:val="24"/>
    </w:rPr>
  </w:style>
  <w:style w:type="paragraph" w:customStyle="1" w:styleId="SOWTitle">
    <w:name w:val="SOWTitle"/>
    <w:basedOn w:val="Normal"/>
    <w:rsid w:val="00EB3E77"/>
    <w:rPr>
      <w:rFonts w:ascii="Trebuchet MS" w:hAnsi="Trebuchet MS"/>
      <w:b/>
    </w:rPr>
  </w:style>
  <w:style w:type="numbering" w:customStyle="1" w:styleId="NormalBulleted0">
    <w:name w:val="Normal Bulleted"/>
    <w:rsid w:val="00EB3E77"/>
    <w:pPr>
      <w:numPr>
        <w:numId w:val="6"/>
      </w:numPr>
    </w:pPr>
  </w:style>
  <w:style w:type="paragraph" w:styleId="ListBullet">
    <w:name w:val="List Bullet"/>
    <w:aliases w:val="IPA Bullet,*List Bullet"/>
    <w:basedOn w:val="BodyText"/>
    <w:uiPriority w:val="99"/>
    <w:rsid w:val="00EB3E77"/>
    <w:pPr>
      <w:numPr>
        <w:numId w:val="7"/>
      </w:numPr>
      <w:spacing w:before="130" w:after="130"/>
      <w:jc w:val="both"/>
    </w:pPr>
    <w:rPr>
      <w:sz w:val="22"/>
      <w:szCs w:val="20"/>
      <w:lang w:val="en-GB"/>
    </w:rPr>
  </w:style>
  <w:style w:type="paragraph" w:customStyle="1" w:styleId="DefaultParagraphFontParaCharCharCharCharCharCharCharCharCharCharCharCharCharCharCharCharCharCharChar">
    <w:name w:val="Default Paragraph Font Para Char Char Char Char Char Char Char Char Char Char Char Char Char Char Char Char Char Char Char"/>
    <w:basedOn w:val="Normal"/>
    <w:rsid w:val="00EB3E77"/>
    <w:pPr>
      <w:spacing w:after="160" w:line="240" w:lineRule="exact"/>
    </w:pPr>
    <w:rPr>
      <w:rFonts w:ascii="Verdana" w:hAnsi="Verdana"/>
      <w:sz w:val="20"/>
    </w:rPr>
  </w:style>
  <w:style w:type="paragraph" w:styleId="Index2">
    <w:name w:val="index 2"/>
    <w:basedOn w:val="Normal"/>
    <w:next w:val="Normal"/>
    <w:semiHidden/>
    <w:rsid w:val="00EB3E77"/>
    <w:pPr>
      <w:tabs>
        <w:tab w:val="num" w:pos="340"/>
      </w:tabs>
      <w:spacing w:after="60"/>
      <w:ind w:left="340" w:right="851"/>
      <w:jc w:val="both"/>
    </w:pPr>
    <w:rPr>
      <w:szCs w:val="20"/>
    </w:rPr>
  </w:style>
  <w:style w:type="paragraph" w:customStyle="1" w:styleId="zreportaddinfo">
    <w:name w:val="zreport addinfo"/>
    <w:basedOn w:val="Normal"/>
    <w:semiHidden/>
    <w:rsid w:val="00EB3E77"/>
    <w:pPr>
      <w:framePr w:wrap="around" w:hAnchor="margin" w:xAlign="center" w:yAlign="bottom"/>
      <w:numPr>
        <w:numId w:val="8"/>
      </w:numPr>
      <w:tabs>
        <w:tab w:val="clear" w:pos="340"/>
      </w:tabs>
      <w:spacing w:after="60" w:line="240" w:lineRule="exact"/>
      <w:ind w:left="0" w:firstLine="0"/>
      <w:jc w:val="center"/>
    </w:pPr>
    <w:rPr>
      <w:noProof/>
      <w:sz w:val="20"/>
      <w:szCs w:val="20"/>
    </w:rPr>
  </w:style>
  <w:style w:type="paragraph" w:customStyle="1" w:styleId="AppendixHeading">
    <w:name w:val="Appendix Heading"/>
    <w:basedOn w:val="Heading1"/>
    <w:next w:val="BodyText"/>
    <w:rsid w:val="00EB3E77"/>
    <w:pPr>
      <w:keepNext w:val="0"/>
      <w:pageBreakBefore/>
      <w:tabs>
        <w:tab w:val="num" w:pos="0"/>
      </w:tabs>
      <w:spacing w:before="60" w:after="120" w:line="360" w:lineRule="exact"/>
      <w:ind w:hanging="964"/>
      <w:outlineLvl w:val="9"/>
    </w:pPr>
    <w:rPr>
      <w:rFonts w:ascii="Tahoma" w:hAnsi="Tahoma"/>
      <w:kern w:val="0"/>
    </w:rPr>
  </w:style>
  <w:style w:type="paragraph" w:styleId="ListBullet3">
    <w:name w:val="List Bullet 3"/>
    <w:basedOn w:val="ListBullet"/>
    <w:rsid w:val="00EB3E77"/>
    <w:pPr>
      <w:numPr>
        <w:numId w:val="0"/>
      </w:numPr>
      <w:tabs>
        <w:tab w:val="num" w:pos="340"/>
      </w:tabs>
      <w:ind w:left="340" w:hanging="340"/>
      <w:jc w:val="left"/>
    </w:pPr>
    <w:rPr>
      <w:sz w:val="18"/>
    </w:rPr>
  </w:style>
  <w:style w:type="paragraph" w:customStyle="1" w:styleId="Heading21">
    <w:name w:val="Heading 21"/>
    <w:basedOn w:val="Heading1"/>
    <w:next w:val="Normal"/>
    <w:link w:val="Heading21Char"/>
    <w:autoRedefine/>
    <w:qFormat/>
    <w:rsid w:val="00EB3E77"/>
    <w:pPr>
      <w:numPr>
        <w:numId w:val="10"/>
      </w:numPr>
    </w:pPr>
    <w:rPr>
      <w:bCs/>
      <w:noProof/>
      <w:sz w:val="24"/>
      <w:szCs w:val="24"/>
    </w:rPr>
  </w:style>
  <w:style w:type="character" w:customStyle="1" w:styleId="Heading21Char">
    <w:name w:val="Heading 21 Char"/>
    <w:link w:val="Heading21"/>
    <w:rsid w:val="00EB3E77"/>
    <w:rPr>
      <w:rFonts w:ascii="Cambria" w:eastAsia="Times New Roman" w:hAnsi="Cambria" w:cs="Times New Roman"/>
      <w:b/>
      <w:bCs/>
      <w:noProof/>
      <w:kern w:val="28"/>
      <w:sz w:val="24"/>
      <w:szCs w:val="24"/>
      <w:lang/>
    </w:rPr>
  </w:style>
  <w:style w:type="character" w:customStyle="1" w:styleId="pafhovertarget">
    <w:name w:val="p_afhovertarget"/>
    <w:basedOn w:val="DefaultParagraphFont"/>
    <w:rsid w:val="00EB3E77"/>
  </w:style>
  <w:style w:type="paragraph" w:customStyle="1" w:styleId="Bullets2-Normal">
    <w:name w:val="Bullets 2 - Normal"/>
    <w:basedOn w:val="Heading1"/>
    <w:next w:val="Normal"/>
    <w:link w:val="Bullets2-NormalChar"/>
    <w:autoRedefine/>
    <w:qFormat/>
    <w:rsid w:val="00EB3E77"/>
    <w:pPr>
      <w:numPr>
        <w:ilvl w:val="2"/>
        <w:numId w:val="9"/>
      </w:numPr>
    </w:pPr>
    <w:rPr>
      <w:bCs/>
      <w:kern w:val="0"/>
      <w:sz w:val="24"/>
      <w:szCs w:val="24"/>
      <w:lang w:val="en-GB"/>
    </w:rPr>
  </w:style>
  <w:style w:type="character" w:customStyle="1" w:styleId="Bullets2-NormalChar">
    <w:name w:val="Bullets 2 - Normal Char"/>
    <w:link w:val="Bullets2-Normal"/>
    <w:rsid w:val="00EB3E77"/>
    <w:rPr>
      <w:rFonts w:ascii="Cambria" w:eastAsia="Times New Roman" w:hAnsi="Cambria" w:cs="Times New Roman"/>
      <w:b/>
      <w:bCs/>
      <w:sz w:val="24"/>
      <w:szCs w:val="24"/>
      <w:lang w:val="en-GB"/>
    </w:rPr>
  </w:style>
  <w:style w:type="paragraph" w:customStyle="1" w:styleId="Default">
    <w:name w:val="Default"/>
    <w:rsid w:val="00EB3E7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Header3">
    <w:name w:val="Header 3"/>
    <w:basedOn w:val="Heading3"/>
    <w:rsid w:val="00EB3E77"/>
    <w:pPr>
      <w:keepNext w:val="0"/>
      <w:numPr>
        <w:numId w:val="0"/>
      </w:numPr>
      <w:tabs>
        <w:tab w:val="num" w:pos="720"/>
      </w:tabs>
      <w:spacing w:before="60"/>
      <w:jc w:val="both"/>
    </w:pPr>
    <w:rPr>
      <w:rFonts w:ascii="Times New Roman" w:hAnsi="Times New Roman"/>
      <w:bCs/>
      <w:caps/>
      <w:sz w:val="28"/>
      <w:szCs w:val="20"/>
    </w:rPr>
  </w:style>
  <w:style w:type="character" w:styleId="CommentReference">
    <w:name w:val="annotation reference"/>
    <w:uiPriority w:val="99"/>
    <w:semiHidden/>
    <w:unhideWhenUsed/>
    <w:rsid w:val="00EB3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E77"/>
    <w:rPr>
      <w:sz w:val="20"/>
      <w:szCs w:val="20"/>
      <w:lang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E77"/>
    <w:rPr>
      <w:rFonts w:ascii="Cambria" w:eastAsia="Times New Roman" w:hAnsi="Cambria" w:cs="Times New Roman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E77"/>
    <w:rPr>
      <w:b/>
      <w:bCs/>
    </w:rPr>
  </w:style>
  <w:style w:type="paragraph" w:customStyle="1" w:styleId="DefinitionTerm">
    <w:name w:val="Definition Term"/>
    <w:basedOn w:val="Normal"/>
    <w:next w:val="Normal"/>
    <w:rsid w:val="00EB3E77"/>
    <w:rPr>
      <w:rFonts w:ascii="Times New Roman" w:hAnsi="Times New Roman"/>
      <w:snapToGrid w:val="0"/>
      <w:szCs w:val="20"/>
    </w:rPr>
  </w:style>
  <w:style w:type="character" w:customStyle="1" w:styleId="xqg">
    <w:name w:val="xqg"/>
    <w:basedOn w:val="DefaultParagraphFont"/>
    <w:rsid w:val="00EB3E77"/>
  </w:style>
  <w:style w:type="character" w:customStyle="1" w:styleId="x1a">
    <w:name w:val="x1a"/>
    <w:basedOn w:val="DefaultParagraphFont"/>
    <w:rsid w:val="00EB3E77"/>
  </w:style>
  <w:style w:type="character" w:customStyle="1" w:styleId="xq">
    <w:name w:val="xq"/>
    <w:basedOn w:val="DefaultParagraphFont"/>
    <w:rsid w:val="00EB3E77"/>
  </w:style>
  <w:style w:type="character" w:customStyle="1" w:styleId="apple-converted-space">
    <w:name w:val="apple-converted-space"/>
    <w:basedOn w:val="DefaultParagraphFont"/>
    <w:rsid w:val="00EB3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3499</Words>
  <Characters>19946</Characters>
  <Application>Microsoft Office Word</Application>
  <DocSecurity>0</DocSecurity>
  <Lines>166</Lines>
  <Paragraphs>46</Paragraphs>
  <ScaleCrop>false</ScaleCrop>
  <Company/>
  <LinksUpToDate>false</LinksUpToDate>
  <CharactersWithSpaces>23399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Turnkey</dc:creator>
  <cp:lastModifiedBy>Turnkey</cp:lastModifiedBy>
  <cp:revision>2</cp:revision>
  <dcterms:created xsi:type="dcterms:W3CDTF">2014-02-18T22:45:00Z</dcterms:created>
  <dcterms:modified xsi:type="dcterms:W3CDTF">2014-02-18T22:54:00Z</dcterms:modified>
</cp:coreProperties>
</file>