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7EB" w:rsidRPr="00A907EB" w:rsidRDefault="0084229B" w:rsidP="005E1C40">
      <w:pPr>
        <w:spacing w:before="100" w:beforeAutospacing="1" w:after="100" w:afterAutospacing="1" w:line="240" w:lineRule="auto"/>
        <w:outlineLvl w:val="2"/>
        <w:rPr>
          <w:rFonts w:eastAsia="Times New Roman" w:cstheme="minorHAnsi"/>
          <w:b/>
          <w:bCs/>
          <w:sz w:val="20"/>
          <w:szCs w:val="20"/>
        </w:rPr>
      </w:pPr>
      <w:r w:rsidRPr="0084229B">
        <w:rPr>
          <w:rFonts w:eastAsia="Times New Roman" w:cstheme="minorHAnsi"/>
          <w:b/>
          <w:bCs/>
          <w:sz w:val="20"/>
          <w:szCs w:val="20"/>
        </w:rPr>
        <w:t xml:space="preserve">   </w:t>
      </w:r>
      <w:r w:rsidR="00A907EB" w:rsidRPr="00A907EB">
        <w:rPr>
          <w:rFonts w:eastAsia="Times New Roman" w:cstheme="minorHAnsi"/>
          <w:b/>
          <w:bCs/>
          <w:sz w:val="20"/>
          <w:szCs w:val="20"/>
        </w:rPr>
        <w:t xml:space="preserve">Professional Insight Report: Nigeria </w:t>
      </w:r>
      <w:proofErr w:type="spellStart"/>
      <w:r w:rsidR="00A907EB" w:rsidRPr="00A907EB">
        <w:rPr>
          <w:rFonts w:eastAsia="Times New Roman" w:cstheme="minorHAnsi"/>
          <w:b/>
          <w:bCs/>
          <w:sz w:val="20"/>
          <w:szCs w:val="20"/>
        </w:rPr>
        <w:t>Forex</w:t>
      </w:r>
      <w:proofErr w:type="spellEnd"/>
      <w:r w:rsidR="00A907EB" w:rsidRPr="00A907EB">
        <w:rPr>
          <w:rFonts w:eastAsia="Times New Roman" w:cstheme="minorHAnsi"/>
          <w:b/>
          <w:bCs/>
          <w:sz w:val="20"/>
          <w:szCs w:val="20"/>
        </w:rPr>
        <w:t xml:space="preserve"> Exchange</w:t>
      </w:r>
      <w:r w:rsidR="00A907EB" w:rsidRPr="00A907EB">
        <w:rPr>
          <w:rFonts w:eastAsia="Times New Roman" w:cstheme="minorHAnsi"/>
          <w:sz w:val="20"/>
          <w:szCs w:val="20"/>
        </w:rPr>
        <w:pict>
          <v:rect id="_x0000_i1025" style="width:0;height:1.5pt" o:hralign="center" o:hrstd="t" o:hr="t" fillcolor="#a0a0a0" stroked="f"/>
        </w:pict>
      </w:r>
      <w:r w:rsidR="00A907EB" w:rsidRPr="00A907EB">
        <w:rPr>
          <w:rFonts w:eastAsia="Times New Roman" w:cstheme="minorHAnsi"/>
          <w:b/>
          <w:bCs/>
          <w:sz w:val="20"/>
          <w:szCs w:val="20"/>
        </w:rPr>
        <w:t xml:space="preserve"> Summary</w:t>
      </w:r>
      <w:r w:rsidR="00BD291B">
        <w:rPr>
          <w:rFonts w:eastAsia="Times New Roman" w:cstheme="minorHAnsi"/>
          <w:b/>
          <w:bCs/>
          <w:sz w:val="20"/>
          <w:szCs w:val="20"/>
        </w:rPr>
        <w:t xml:space="preserve">: </w:t>
      </w:r>
      <w:r w:rsidR="00A907EB" w:rsidRPr="00A907EB">
        <w:rPr>
          <w:rFonts w:eastAsia="Times New Roman" w:cstheme="minorHAnsi"/>
          <w:sz w:val="20"/>
          <w:szCs w:val="20"/>
        </w:rPr>
        <w:t xml:space="preserve">This report provides a comprehensive analysis of the Nigerian Naira (NGN) against major currencies such as USD, EUR, and GBP over the past six months. It includes market trends, performance analysis, volatility, and the impact of economic indicators. The insights derived aim to assist stakeholders in making informed decisions regarding </w:t>
      </w:r>
      <w:proofErr w:type="spellStart"/>
      <w:r w:rsidR="00A907EB" w:rsidRPr="00A907EB">
        <w:rPr>
          <w:rFonts w:eastAsia="Times New Roman" w:cstheme="minorHAnsi"/>
          <w:sz w:val="20"/>
          <w:szCs w:val="20"/>
        </w:rPr>
        <w:t>Forex</w:t>
      </w:r>
      <w:proofErr w:type="spellEnd"/>
      <w:r w:rsidR="00A907EB" w:rsidRPr="00A907EB">
        <w:rPr>
          <w:rFonts w:eastAsia="Times New Roman" w:cstheme="minorHAnsi"/>
          <w:sz w:val="20"/>
          <w:szCs w:val="20"/>
        </w:rPr>
        <w:t xml:space="preserve"> trading and risk management.</w:t>
      </w:r>
    </w:p>
    <w:p w:rsidR="00A907EB" w:rsidRPr="00A907EB" w:rsidRDefault="00A907EB" w:rsidP="00A907EB">
      <w:pPr>
        <w:spacing w:before="100" w:beforeAutospacing="1" w:after="100" w:afterAutospacing="1" w:line="240" w:lineRule="auto"/>
        <w:outlineLvl w:val="1"/>
        <w:rPr>
          <w:rFonts w:eastAsia="Times New Roman" w:cstheme="minorHAnsi"/>
          <w:b/>
          <w:bCs/>
          <w:sz w:val="20"/>
          <w:szCs w:val="20"/>
        </w:rPr>
      </w:pPr>
      <w:r w:rsidRPr="00A907EB">
        <w:rPr>
          <w:rFonts w:eastAsia="Times New Roman" w:cstheme="minorHAnsi"/>
          <w:b/>
          <w:bCs/>
          <w:sz w:val="20"/>
          <w:szCs w:val="20"/>
        </w:rPr>
        <w:t>1. Introduction</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Objectives</w:t>
      </w:r>
    </w:p>
    <w:p w:rsidR="00A907EB" w:rsidRPr="00A907EB" w:rsidRDefault="005E1C40" w:rsidP="00A907EB">
      <w:pPr>
        <w:numPr>
          <w:ilvl w:val="0"/>
          <w:numId w:val="1"/>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A</w:t>
      </w:r>
      <w:r w:rsidR="00A907EB" w:rsidRPr="00A907EB">
        <w:rPr>
          <w:rFonts w:eastAsia="Times New Roman" w:cstheme="minorHAnsi"/>
          <w:sz w:val="20"/>
          <w:szCs w:val="20"/>
        </w:rPr>
        <w:t>nalyze recent trends in the exchange rates of NGN against major currencies.</w:t>
      </w:r>
    </w:p>
    <w:p w:rsidR="00A907EB" w:rsidRPr="00A907EB" w:rsidRDefault="00A907EB" w:rsidP="00A907EB">
      <w:pPr>
        <w:numPr>
          <w:ilvl w:val="0"/>
          <w:numId w:val="1"/>
        </w:numPr>
        <w:spacing w:before="100" w:beforeAutospacing="1" w:after="100" w:afterAutospacing="1" w:line="240" w:lineRule="auto"/>
        <w:rPr>
          <w:rFonts w:eastAsia="Times New Roman" w:cstheme="minorHAnsi"/>
          <w:sz w:val="20"/>
          <w:szCs w:val="20"/>
        </w:rPr>
      </w:pPr>
      <w:proofErr w:type="spellStart"/>
      <w:proofErr w:type="gramStart"/>
      <w:r w:rsidRPr="00A907EB">
        <w:rPr>
          <w:rFonts w:eastAsia="Times New Roman" w:cstheme="minorHAnsi"/>
          <w:sz w:val="20"/>
          <w:szCs w:val="20"/>
        </w:rPr>
        <w:t>valuate</w:t>
      </w:r>
      <w:proofErr w:type="spellEnd"/>
      <w:proofErr w:type="gramEnd"/>
      <w:r w:rsidRPr="00A907EB">
        <w:rPr>
          <w:rFonts w:eastAsia="Times New Roman" w:cstheme="minorHAnsi"/>
          <w:sz w:val="20"/>
          <w:szCs w:val="20"/>
        </w:rPr>
        <w:t xml:space="preserve"> the performance and volatility of these currency pairs.</w:t>
      </w:r>
    </w:p>
    <w:p w:rsidR="00A907EB" w:rsidRPr="00A907EB" w:rsidRDefault="00A907EB" w:rsidP="00A907EB">
      <w:pPr>
        <w:numPr>
          <w:ilvl w:val="0"/>
          <w:numId w:val="1"/>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To understand the impact of key economic indicators on exchange rates.</w:t>
      </w:r>
    </w:p>
    <w:p w:rsidR="00A907EB" w:rsidRPr="00A907EB" w:rsidRDefault="00A907EB" w:rsidP="00A907EB">
      <w:pPr>
        <w:numPr>
          <w:ilvl w:val="0"/>
          <w:numId w:val="1"/>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To provide actionable insights for risk management and strategic planning.</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Scope</w:t>
      </w:r>
    </w:p>
    <w:p w:rsidR="00A907EB" w:rsidRPr="00A907EB" w:rsidRDefault="00A907EB" w:rsidP="0014703F">
      <w:p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 xml:space="preserve">The analysis covers the period from six months ago to the present date. The currencies analyzed are USD, </w:t>
      </w:r>
      <w:r w:rsidR="0014703F">
        <w:rPr>
          <w:rFonts w:eastAsia="Times New Roman" w:cstheme="minorHAnsi"/>
          <w:sz w:val="20"/>
          <w:szCs w:val="20"/>
        </w:rPr>
        <w:t>EUR, and GBP in relation to NGN</w:t>
      </w:r>
    </w:p>
    <w:p w:rsidR="00A907EB" w:rsidRPr="00A907EB" w:rsidRDefault="00A907EB" w:rsidP="00A907EB">
      <w:pPr>
        <w:spacing w:before="100" w:beforeAutospacing="1" w:after="100" w:afterAutospacing="1" w:line="240" w:lineRule="auto"/>
        <w:outlineLvl w:val="1"/>
        <w:rPr>
          <w:rFonts w:eastAsia="Times New Roman" w:cstheme="minorHAnsi"/>
          <w:b/>
          <w:bCs/>
          <w:sz w:val="20"/>
          <w:szCs w:val="20"/>
        </w:rPr>
      </w:pPr>
      <w:r w:rsidRPr="00A907EB">
        <w:rPr>
          <w:rFonts w:eastAsia="Times New Roman" w:cstheme="minorHAnsi"/>
          <w:b/>
          <w:bCs/>
          <w:sz w:val="20"/>
          <w:szCs w:val="20"/>
        </w:rPr>
        <w:t>2. Data Collection and Methodology</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Data Sources</w:t>
      </w:r>
    </w:p>
    <w:p w:rsidR="00A907EB" w:rsidRPr="00A907EB" w:rsidRDefault="00A907EB" w:rsidP="00A907EB">
      <w:pPr>
        <w:numPr>
          <w:ilvl w:val="0"/>
          <w:numId w:val="2"/>
        </w:numPr>
        <w:spacing w:before="100" w:beforeAutospacing="1" w:after="100" w:afterAutospacing="1" w:line="240" w:lineRule="auto"/>
        <w:rPr>
          <w:rFonts w:eastAsia="Times New Roman" w:cstheme="minorHAnsi"/>
          <w:sz w:val="20"/>
          <w:szCs w:val="20"/>
        </w:rPr>
      </w:pPr>
      <w:proofErr w:type="spellStart"/>
      <w:r w:rsidRPr="0084229B">
        <w:rPr>
          <w:rFonts w:eastAsia="Times New Roman" w:cstheme="minorHAnsi"/>
          <w:b/>
          <w:bCs/>
          <w:sz w:val="20"/>
          <w:szCs w:val="20"/>
        </w:rPr>
        <w:t>Forex</w:t>
      </w:r>
      <w:proofErr w:type="spellEnd"/>
      <w:r w:rsidRPr="0084229B">
        <w:rPr>
          <w:rFonts w:eastAsia="Times New Roman" w:cstheme="minorHAnsi"/>
          <w:b/>
          <w:bCs/>
          <w:sz w:val="20"/>
          <w:szCs w:val="20"/>
        </w:rPr>
        <w:t xml:space="preserve"> Data</w:t>
      </w:r>
      <w:r w:rsidRPr="00A907EB">
        <w:rPr>
          <w:rFonts w:eastAsia="Times New Roman" w:cstheme="minorHAnsi"/>
          <w:sz w:val="20"/>
          <w:szCs w:val="20"/>
        </w:rPr>
        <w:t>: Alpha Vantage API</w:t>
      </w:r>
    </w:p>
    <w:p w:rsidR="00A907EB" w:rsidRPr="00A907EB" w:rsidRDefault="00A907EB" w:rsidP="00A907EB">
      <w:pPr>
        <w:numPr>
          <w:ilvl w:val="0"/>
          <w:numId w:val="2"/>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Economic Indicators</w:t>
      </w:r>
      <w:r w:rsidRPr="00A907EB">
        <w:rPr>
          <w:rFonts w:eastAsia="Times New Roman" w:cstheme="minorHAnsi"/>
          <w:sz w:val="20"/>
          <w:szCs w:val="20"/>
        </w:rPr>
        <w:t>: Mock data for illustration</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Methodology</w:t>
      </w:r>
    </w:p>
    <w:p w:rsidR="00A907EB" w:rsidRPr="00A907EB" w:rsidRDefault="00A907EB" w:rsidP="00A907EB">
      <w:pPr>
        <w:numPr>
          <w:ilvl w:val="0"/>
          <w:numId w:val="3"/>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Data Extraction</w:t>
      </w:r>
      <w:r w:rsidRPr="00A907EB">
        <w:rPr>
          <w:rFonts w:eastAsia="Times New Roman" w:cstheme="minorHAnsi"/>
          <w:sz w:val="20"/>
          <w:szCs w:val="20"/>
        </w:rPr>
        <w:t>: Data was fetched using the Alpha Vantage API.</w:t>
      </w:r>
    </w:p>
    <w:p w:rsidR="00A907EB" w:rsidRPr="00A907EB" w:rsidRDefault="00A907EB" w:rsidP="00A907EB">
      <w:pPr>
        <w:numPr>
          <w:ilvl w:val="0"/>
          <w:numId w:val="3"/>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Data Transformation</w:t>
      </w:r>
      <w:r w:rsidRPr="00A907EB">
        <w:rPr>
          <w:rFonts w:eastAsia="Times New Roman" w:cstheme="minorHAnsi"/>
          <w:sz w:val="20"/>
          <w:szCs w:val="20"/>
        </w:rPr>
        <w:t>: Data was processed and cleaned using Pandas.</w:t>
      </w:r>
    </w:p>
    <w:p w:rsidR="00A907EB" w:rsidRPr="00A907EB" w:rsidRDefault="00A907EB" w:rsidP="002A411E">
      <w:pPr>
        <w:numPr>
          <w:ilvl w:val="0"/>
          <w:numId w:val="3"/>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Data Visualization</w:t>
      </w:r>
      <w:r w:rsidRPr="00A907EB">
        <w:rPr>
          <w:rFonts w:eastAsia="Times New Roman" w:cstheme="minorHAnsi"/>
          <w:sz w:val="20"/>
          <w:szCs w:val="20"/>
        </w:rPr>
        <w:t xml:space="preserve">: Insights were visualized using </w:t>
      </w:r>
      <w:proofErr w:type="spellStart"/>
      <w:r w:rsidRPr="00A907EB">
        <w:rPr>
          <w:rFonts w:eastAsia="Times New Roman" w:cstheme="minorHAnsi"/>
          <w:sz w:val="20"/>
          <w:szCs w:val="20"/>
        </w:rPr>
        <w:t>Matplotlib</w:t>
      </w:r>
      <w:proofErr w:type="spellEnd"/>
      <w:r w:rsidRPr="00A907EB">
        <w:rPr>
          <w:rFonts w:eastAsia="Times New Roman" w:cstheme="minorHAnsi"/>
          <w:sz w:val="20"/>
          <w:szCs w:val="20"/>
        </w:rPr>
        <w:t>.</w:t>
      </w:r>
      <w:bookmarkStart w:id="0" w:name="_GoBack"/>
      <w:bookmarkEnd w:id="0"/>
    </w:p>
    <w:p w:rsidR="00A907EB" w:rsidRPr="00A907EB" w:rsidRDefault="00A907EB" w:rsidP="00A907EB">
      <w:pPr>
        <w:spacing w:before="100" w:beforeAutospacing="1" w:after="100" w:afterAutospacing="1" w:line="240" w:lineRule="auto"/>
        <w:outlineLvl w:val="1"/>
        <w:rPr>
          <w:rFonts w:eastAsia="Times New Roman" w:cstheme="minorHAnsi"/>
          <w:b/>
          <w:bCs/>
          <w:sz w:val="20"/>
          <w:szCs w:val="20"/>
        </w:rPr>
      </w:pPr>
      <w:r w:rsidRPr="00A907EB">
        <w:rPr>
          <w:rFonts w:eastAsia="Times New Roman" w:cstheme="minorHAnsi"/>
          <w:b/>
          <w:bCs/>
          <w:sz w:val="20"/>
          <w:szCs w:val="20"/>
        </w:rPr>
        <w:t>3. Detailed Analysis</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3.1 Market Trends</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Overview</w:t>
      </w:r>
    </w:p>
    <w:p w:rsidR="00A907EB" w:rsidRPr="00A907EB" w:rsidRDefault="00A907EB" w:rsidP="00A907EB">
      <w:p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Analysis of the exchange rate trends for NGN against USD, EUR, and GBP over the last six months.</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Key Metrics</w:t>
      </w:r>
    </w:p>
    <w:p w:rsidR="00A907EB" w:rsidRPr="00A907EB" w:rsidRDefault="00A907EB" w:rsidP="00A907EB">
      <w:pPr>
        <w:numPr>
          <w:ilvl w:val="0"/>
          <w:numId w:val="4"/>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Exchange Rate Changes</w:t>
      </w:r>
      <w:r w:rsidRPr="00A907EB">
        <w:rPr>
          <w:rFonts w:eastAsia="Times New Roman" w:cstheme="minorHAnsi"/>
          <w:sz w:val="20"/>
          <w:szCs w:val="20"/>
        </w:rPr>
        <w:t>: Daily, weekly, and monthly percentage changes.</w:t>
      </w:r>
    </w:p>
    <w:p w:rsidR="00A907EB" w:rsidRPr="00A907EB" w:rsidRDefault="00A907EB" w:rsidP="00A907EB">
      <w:pPr>
        <w:numPr>
          <w:ilvl w:val="0"/>
          <w:numId w:val="4"/>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Trend Direction</w:t>
      </w:r>
      <w:r w:rsidRPr="00A907EB">
        <w:rPr>
          <w:rFonts w:eastAsia="Times New Roman" w:cstheme="minorHAnsi"/>
          <w:sz w:val="20"/>
          <w:szCs w:val="20"/>
        </w:rPr>
        <w:t>: Identifying bullish or bearish trends.</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lastRenderedPageBreak/>
        <w:t>Visualizations</w:t>
      </w:r>
    </w:p>
    <w:p w:rsidR="00A907EB" w:rsidRPr="00A907EB" w:rsidRDefault="00A907EB" w:rsidP="00A907EB">
      <w:pPr>
        <w:numPr>
          <w:ilvl w:val="0"/>
          <w:numId w:val="5"/>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Line Chart</w:t>
      </w:r>
      <w:r w:rsidRPr="00A907EB">
        <w:rPr>
          <w:rFonts w:eastAsia="Times New Roman" w:cstheme="minorHAnsi"/>
          <w:sz w:val="20"/>
          <w:szCs w:val="20"/>
        </w:rPr>
        <w:t xml:space="preserve">: Shows exchange rate trends for NGN/USD, NGN/EUR, </w:t>
      </w:r>
      <w:proofErr w:type="gramStart"/>
      <w:r w:rsidRPr="00A907EB">
        <w:rPr>
          <w:rFonts w:eastAsia="Times New Roman" w:cstheme="minorHAnsi"/>
          <w:sz w:val="20"/>
          <w:szCs w:val="20"/>
        </w:rPr>
        <w:t>NGN</w:t>
      </w:r>
      <w:proofErr w:type="gramEnd"/>
      <w:r w:rsidRPr="00A907EB">
        <w:rPr>
          <w:rFonts w:eastAsia="Times New Roman" w:cstheme="minorHAnsi"/>
          <w:sz w:val="20"/>
          <w:szCs w:val="20"/>
        </w:rPr>
        <w:t>/GBP.</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Insights</w:t>
      </w:r>
    </w:p>
    <w:p w:rsidR="00A907EB" w:rsidRPr="00A907EB" w:rsidRDefault="00A907EB" w:rsidP="00A907EB">
      <w:pPr>
        <w:numPr>
          <w:ilvl w:val="0"/>
          <w:numId w:val="6"/>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The NGN/USD pair shows a bullish trend over the last three months.</w:t>
      </w:r>
    </w:p>
    <w:p w:rsidR="00A907EB" w:rsidRPr="00A907EB" w:rsidRDefault="00A907EB" w:rsidP="00A907EB">
      <w:pPr>
        <w:numPr>
          <w:ilvl w:val="0"/>
          <w:numId w:val="6"/>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NGN/EUR has been relatively stable with minor fluctuations.</w:t>
      </w:r>
    </w:p>
    <w:p w:rsidR="00A907EB" w:rsidRPr="00A907EB" w:rsidRDefault="00A907EB" w:rsidP="00A907EB">
      <w:pPr>
        <w:numPr>
          <w:ilvl w:val="0"/>
          <w:numId w:val="6"/>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NGN/GBP experienced a sharp decline followed by a recovery phase.</w:t>
      </w:r>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26" style="width:0;height:1.5pt" o:hralign="center" o:hrstd="t" o:hr="t" fillcolor="#a0a0a0" stroked="f"/>
        </w:pic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3.2 Performance Analysis</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Overview</w:t>
      </w:r>
    </w:p>
    <w:p w:rsidR="00A907EB" w:rsidRPr="00A907EB" w:rsidRDefault="00A907EB" w:rsidP="00A907EB">
      <w:pPr>
        <w:spacing w:before="100" w:beforeAutospacing="1" w:after="100" w:afterAutospacing="1" w:line="240" w:lineRule="auto"/>
        <w:rPr>
          <w:rFonts w:eastAsia="Times New Roman" w:cstheme="minorHAnsi"/>
          <w:sz w:val="20"/>
          <w:szCs w:val="20"/>
        </w:rPr>
      </w:pPr>
      <w:proofErr w:type="gramStart"/>
      <w:r w:rsidRPr="00A907EB">
        <w:rPr>
          <w:rFonts w:eastAsia="Times New Roman" w:cstheme="minorHAnsi"/>
          <w:sz w:val="20"/>
          <w:szCs w:val="20"/>
        </w:rPr>
        <w:t>Comparison of the performance of NGN against other major currencies.</w:t>
      </w:r>
      <w:proofErr w:type="gramEnd"/>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Key Metrics</w:t>
      </w:r>
    </w:p>
    <w:p w:rsidR="00A907EB" w:rsidRPr="00A907EB" w:rsidRDefault="00A907EB" w:rsidP="00A907EB">
      <w:pPr>
        <w:numPr>
          <w:ilvl w:val="0"/>
          <w:numId w:val="7"/>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Percentage Change</w:t>
      </w:r>
      <w:r w:rsidRPr="00A907EB">
        <w:rPr>
          <w:rFonts w:eastAsia="Times New Roman" w:cstheme="minorHAnsi"/>
          <w:sz w:val="20"/>
          <w:szCs w:val="20"/>
        </w:rPr>
        <w:t>: Over the last month, quarter, and year.</w:t>
      </w:r>
    </w:p>
    <w:p w:rsidR="00A907EB" w:rsidRPr="00A907EB" w:rsidRDefault="00A907EB" w:rsidP="00A907EB">
      <w:pPr>
        <w:numPr>
          <w:ilvl w:val="0"/>
          <w:numId w:val="7"/>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Historical Highs and Lows</w:t>
      </w:r>
      <w:r w:rsidRPr="00A907EB">
        <w:rPr>
          <w:rFonts w:eastAsia="Times New Roman" w:cstheme="minorHAnsi"/>
          <w:sz w:val="20"/>
          <w:szCs w:val="20"/>
        </w:rPr>
        <w:t>: Key levels of exchange rates.</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Visualizations</w:t>
      </w:r>
    </w:p>
    <w:p w:rsidR="00A907EB" w:rsidRPr="00A907EB" w:rsidRDefault="00A907EB" w:rsidP="00A907EB">
      <w:pPr>
        <w:numPr>
          <w:ilvl w:val="0"/>
          <w:numId w:val="8"/>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Bar Chart</w:t>
      </w:r>
      <w:r w:rsidRPr="00A907EB">
        <w:rPr>
          <w:rFonts w:eastAsia="Times New Roman" w:cstheme="minorHAnsi"/>
          <w:sz w:val="20"/>
          <w:szCs w:val="20"/>
        </w:rPr>
        <w:t>: Performance comparison of NGN/USD, NGN/EUR, NGN/GBP.</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Insights</w:t>
      </w:r>
    </w:p>
    <w:p w:rsidR="00A907EB" w:rsidRPr="00A907EB" w:rsidRDefault="00A907EB" w:rsidP="00A907EB">
      <w:pPr>
        <w:numPr>
          <w:ilvl w:val="0"/>
          <w:numId w:val="9"/>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NGN/USD has shown the highest percentage increase over the last quarter.</w:t>
      </w:r>
    </w:p>
    <w:p w:rsidR="00A907EB" w:rsidRPr="00A907EB" w:rsidRDefault="00A907EB" w:rsidP="00A907EB">
      <w:pPr>
        <w:numPr>
          <w:ilvl w:val="0"/>
          <w:numId w:val="9"/>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NGN/GBP saw significant volatility but ended with a net positive change.</w:t>
      </w:r>
    </w:p>
    <w:p w:rsidR="00A907EB" w:rsidRPr="00A907EB" w:rsidRDefault="00A907EB" w:rsidP="00A907EB">
      <w:pPr>
        <w:numPr>
          <w:ilvl w:val="0"/>
          <w:numId w:val="9"/>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NGN/EUR performance remained modest with minimal changes.</w:t>
      </w:r>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27" style="width:0;height:1.5pt" o:hralign="center" o:hrstd="t" o:hr="t" fillcolor="#a0a0a0" stroked="f"/>
        </w:pic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3.3 Volatility Analysis</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Overview</w:t>
      </w:r>
    </w:p>
    <w:p w:rsidR="00A907EB" w:rsidRPr="00A907EB" w:rsidRDefault="00A907EB" w:rsidP="00A907EB">
      <w:pPr>
        <w:spacing w:before="100" w:beforeAutospacing="1" w:after="100" w:afterAutospacing="1" w:line="240" w:lineRule="auto"/>
        <w:rPr>
          <w:rFonts w:eastAsia="Times New Roman" w:cstheme="minorHAnsi"/>
          <w:sz w:val="20"/>
          <w:szCs w:val="20"/>
        </w:rPr>
      </w:pPr>
      <w:proofErr w:type="gramStart"/>
      <w:r w:rsidRPr="00A907EB">
        <w:rPr>
          <w:rFonts w:eastAsia="Times New Roman" w:cstheme="minorHAnsi"/>
          <w:sz w:val="20"/>
          <w:szCs w:val="20"/>
        </w:rPr>
        <w:t>An examination of the volatility in the NGN exchange rates.</w:t>
      </w:r>
      <w:proofErr w:type="gramEnd"/>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Key Metrics</w:t>
      </w:r>
    </w:p>
    <w:p w:rsidR="00A907EB" w:rsidRPr="00A907EB" w:rsidRDefault="00A907EB" w:rsidP="00A907EB">
      <w:pPr>
        <w:numPr>
          <w:ilvl w:val="0"/>
          <w:numId w:val="10"/>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Standard Deviation</w:t>
      </w:r>
      <w:r w:rsidRPr="00A907EB">
        <w:rPr>
          <w:rFonts w:eastAsia="Times New Roman" w:cstheme="minorHAnsi"/>
          <w:sz w:val="20"/>
          <w:szCs w:val="20"/>
        </w:rPr>
        <w:t>: Measure of exchange rate variability.</w:t>
      </w:r>
    </w:p>
    <w:p w:rsidR="00A907EB" w:rsidRPr="00A907EB" w:rsidRDefault="00A907EB" w:rsidP="00A907EB">
      <w:pPr>
        <w:numPr>
          <w:ilvl w:val="0"/>
          <w:numId w:val="10"/>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Average True Range (ATR)</w:t>
      </w:r>
      <w:r w:rsidRPr="00A907EB">
        <w:rPr>
          <w:rFonts w:eastAsia="Times New Roman" w:cstheme="minorHAnsi"/>
          <w:sz w:val="20"/>
          <w:szCs w:val="20"/>
        </w:rPr>
        <w:t>: Indicator of volatility.</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Visualizations</w:t>
      </w:r>
    </w:p>
    <w:p w:rsidR="00A907EB" w:rsidRPr="00A907EB" w:rsidRDefault="00A907EB" w:rsidP="00A907EB">
      <w:pPr>
        <w:numPr>
          <w:ilvl w:val="0"/>
          <w:numId w:val="11"/>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Box Plot</w:t>
      </w:r>
      <w:r w:rsidRPr="00A907EB">
        <w:rPr>
          <w:rFonts w:eastAsia="Times New Roman" w:cstheme="minorHAnsi"/>
          <w:sz w:val="20"/>
          <w:szCs w:val="20"/>
        </w:rPr>
        <w:t xml:space="preserve">: Volatility distribution for NGN/USD, NGN/EUR, </w:t>
      </w:r>
      <w:proofErr w:type="gramStart"/>
      <w:r w:rsidRPr="00A907EB">
        <w:rPr>
          <w:rFonts w:eastAsia="Times New Roman" w:cstheme="minorHAnsi"/>
          <w:sz w:val="20"/>
          <w:szCs w:val="20"/>
        </w:rPr>
        <w:t>NGN</w:t>
      </w:r>
      <w:proofErr w:type="gramEnd"/>
      <w:r w:rsidRPr="00A907EB">
        <w:rPr>
          <w:rFonts w:eastAsia="Times New Roman" w:cstheme="minorHAnsi"/>
          <w:sz w:val="20"/>
          <w:szCs w:val="20"/>
        </w:rPr>
        <w:t>/GBP.</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lastRenderedPageBreak/>
        <w:t>Insights</w:t>
      </w:r>
    </w:p>
    <w:p w:rsidR="00A907EB" w:rsidRPr="00A907EB" w:rsidRDefault="00A907EB" w:rsidP="00A907EB">
      <w:pPr>
        <w:numPr>
          <w:ilvl w:val="0"/>
          <w:numId w:val="12"/>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NGN/USD exhibited the highest volatility, indicating potential risks.</w:t>
      </w:r>
    </w:p>
    <w:p w:rsidR="00A907EB" w:rsidRPr="00A907EB" w:rsidRDefault="00A907EB" w:rsidP="00A907EB">
      <w:pPr>
        <w:numPr>
          <w:ilvl w:val="0"/>
          <w:numId w:val="12"/>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NGN/EUR maintained low volatility, suggesting stability.</w:t>
      </w:r>
    </w:p>
    <w:p w:rsidR="00A907EB" w:rsidRPr="00A907EB" w:rsidRDefault="00A907EB" w:rsidP="00A907EB">
      <w:pPr>
        <w:numPr>
          <w:ilvl w:val="0"/>
          <w:numId w:val="12"/>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NGN/GBP showed moderate volatility, highlighting medium risk.</w:t>
      </w:r>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28" style="width:0;height:1.5pt" o:hralign="center" o:hrstd="t" o:hr="t" fillcolor="#a0a0a0" stroked="f"/>
        </w:pic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3.4 Economic Indicators Impact</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Overview</w:t>
      </w:r>
    </w:p>
    <w:p w:rsidR="00A907EB" w:rsidRPr="00A907EB" w:rsidRDefault="00A907EB" w:rsidP="00A907EB">
      <w:pPr>
        <w:spacing w:before="100" w:beforeAutospacing="1" w:after="100" w:afterAutospacing="1" w:line="240" w:lineRule="auto"/>
        <w:rPr>
          <w:rFonts w:eastAsia="Times New Roman" w:cstheme="minorHAnsi"/>
          <w:sz w:val="20"/>
          <w:szCs w:val="20"/>
        </w:rPr>
      </w:pPr>
      <w:proofErr w:type="gramStart"/>
      <w:r w:rsidRPr="00A907EB">
        <w:rPr>
          <w:rFonts w:eastAsia="Times New Roman" w:cstheme="minorHAnsi"/>
          <w:sz w:val="20"/>
          <w:szCs w:val="20"/>
        </w:rPr>
        <w:t>Analysis of the correlation between Nigeria’s economic indicators and the NGN exchange rate.</w:t>
      </w:r>
      <w:proofErr w:type="gramEnd"/>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Key Metrics</w:t>
      </w:r>
    </w:p>
    <w:p w:rsidR="00A907EB" w:rsidRPr="00A907EB" w:rsidRDefault="00A907EB" w:rsidP="00A907EB">
      <w:pPr>
        <w:numPr>
          <w:ilvl w:val="0"/>
          <w:numId w:val="13"/>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Interest Rates</w:t>
      </w:r>
      <w:r w:rsidRPr="00A907EB">
        <w:rPr>
          <w:rFonts w:eastAsia="Times New Roman" w:cstheme="minorHAnsi"/>
          <w:sz w:val="20"/>
          <w:szCs w:val="20"/>
        </w:rPr>
        <w:t>: Central Bank rates and their impact on NGN.</w:t>
      </w:r>
    </w:p>
    <w:p w:rsidR="00A907EB" w:rsidRPr="00A907EB" w:rsidRDefault="00A907EB" w:rsidP="00A907EB">
      <w:pPr>
        <w:numPr>
          <w:ilvl w:val="0"/>
          <w:numId w:val="13"/>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GDP Growth</w:t>
      </w:r>
      <w:r w:rsidRPr="00A907EB">
        <w:rPr>
          <w:rFonts w:eastAsia="Times New Roman" w:cstheme="minorHAnsi"/>
          <w:sz w:val="20"/>
          <w:szCs w:val="20"/>
        </w:rPr>
        <w:t>: Correlation with exchange rate movements.</w:t>
      </w:r>
    </w:p>
    <w:p w:rsidR="00A907EB" w:rsidRPr="00A907EB" w:rsidRDefault="00A907EB" w:rsidP="00A907EB">
      <w:pPr>
        <w:numPr>
          <w:ilvl w:val="0"/>
          <w:numId w:val="13"/>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Inflation Rate</w:t>
      </w:r>
      <w:r w:rsidRPr="00A907EB">
        <w:rPr>
          <w:rFonts w:eastAsia="Times New Roman" w:cstheme="minorHAnsi"/>
          <w:sz w:val="20"/>
          <w:szCs w:val="20"/>
        </w:rPr>
        <w:t>: Influence on currency strength.</w:t>
      </w:r>
    </w:p>
    <w:p w:rsidR="00A907EB" w:rsidRPr="00A907EB" w:rsidRDefault="00A907EB" w:rsidP="00A907EB">
      <w:pPr>
        <w:spacing w:before="100" w:beforeAutospacing="1" w:after="100" w:afterAutospacing="1" w:line="240" w:lineRule="auto"/>
        <w:outlineLvl w:val="3"/>
        <w:rPr>
          <w:rFonts w:eastAsia="Times New Roman" w:cstheme="minorHAnsi"/>
          <w:b/>
          <w:bCs/>
          <w:sz w:val="20"/>
          <w:szCs w:val="20"/>
        </w:rPr>
      </w:pPr>
      <w:r w:rsidRPr="00A907EB">
        <w:rPr>
          <w:rFonts w:eastAsia="Times New Roman" w:cstheme="minorHAnsi"/>
          <w:b/>
          <w:bCs/>
          <w:sz w:val="20"/>
          <w:szCs w:val="20"/>
        </w:rPr>
        <w:t>Visualizations</w:t>
      </w:r>
    </w:p>
    <w:p w:rsidR="00A907EB" w:rsidRPr="00A907EB" w:rsidRDefault="00A907EB" w:rsidP="00A907EB">
      <w:pPr>
        <w:numPr>
          <w:ilvl w:val="0"/>
          <w:numId w:val="14"/>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Scatter Plot</w:t>
      </w:r>
      <w:r w:rsidRPr="00A907EB">
        <w:rPr>
          <w:rFonts w:eastAsia="Times New Roman" w:cstheme="minorHAnsi"/>
          <w:sz w:val="20"/>
          <w:szCs w:val="20"/>
        </w:rPr>
        <w:t>: Correlation between interest rates and NGN/USD.</w:t>
      </w:r>
    </w:p>
    <w:p w:rsidR="00A907EB" w:rsidRPr="00A907EB" w:rsidRDefault="00A907EB" w:rsidP="00A907EB">
      <w:pPr>
        <w:numPr>
          <w:ilvl w:val="0"/>
          <w:numId w:val="14"/>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Event Study Graph</w:t>
      </w:r>
      <w:r w:rsidRPr="00A907EB">
        <w:rPr>
          <w:rFonts w:eastAsia="Times New Roman" w:cstheme="minorHAnsi"/>
          <w:sz w:val="20"/>
          <w:szCs w:val="20"/>
        </w:rPr>
        <w:t>: Exchange rate reaction to economic announcements.</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Insights</w:t>
      </w:r>
    </w:p>
    <w:p w:rsidR="00A907EB" w:rsidRPr="00A907EB" w:rsidRDefault="00A907EB" w:rsidP="00A907EB">
      <w:pPr>
        <w:numPr>
          <w:ilvl w:val="0"/>
          <w:numId w:val="15"/>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A strong positive correlation between interest rate changes and NGN/USD exchange rate.</w:t>
      </w:r>
    </w:p>
    <w:p w:rsidR="00A907EB" w:rsidRPr="00A907EB" w:rsidRDefault="00A907EB" w:rsidP="00A907EB">
      <w:pPr>
        <w:numPr>
          <w:ilvl w:val="0"/>
          <w:numId w:val="15"/>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Inflation rates have a moderate negative impact on NGN strength.</w:t>
      </w:r>
    </w:p>
    <w:p w:rsidR="00A907EB" w:rsidRPr="00A907EB" w:rsidRDefault="00A907EB" w:rsidP="00A907EB">
      <w:pPr>
        <w:numPr>
          <w:ilvl w:val="0"/>
          <w:numId w:val="15"/>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GDP growth shows a positive correlation with NGN performance.</w:t>
      </w:r>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29" style="width:0;height:1.5pt" o:hralign="center" o:hrstd="t" o:hr="t" fillcolor="#a0a0a0" stroked="f"/>
        </w:pict>
      </w:r>
    </w:p>
    <w:p w:rsidR="00A907EB" w:rsidRPr="00A907EB" w:rsidRDefault="00A907EB" w:rsidP="00A907EB">
      <w:pPr>
        <w:spacing w:before="100" w:beforeAutospacing="1" w:after="100" w:afterAutospacing="1" w:line="240" w:lineRule="auto"/>
        <w:outlineLvl w:val="1"/>
        <w:rPr>
          <w:rFonts w:eastAsia="Times New Roman" w:cstheme="minorHAnsi"/>
          <w:b/>
          <w:bCs/>
          <w:sz w:val="20"/>
          <w:szCs w:val="20"/>
        </w:rPr>
      </w:pPr>
      <w:r w:rsidRPr="00A907EB">
        <w:rPr>
          <w:rFonts w:eastAsia="Times New Roman" w:cstheme="minorHAnsi"/>
          <w:b/>
          <w:bCs/>
          <w:sz w:val="20"/>
          <w:szCs w:val="20"/>
        </w:rPr>
        <w:t>4. Risk Management</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Overview</w:t>
      </w:r>
    </w:p>
    <w:p w:rsidR="00A907EB" w:rsidRPr="00A907EB" w:rsidRDefault="00A907EB" w:rsidP="00A907EB">
      <w:p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 xml:space="preserve">Assessment of the risks associated with </w:t>
      </w:r>
      <w:proofErr w:type="spellStart"/>
      <w:r w:rsidRPr="00A907EB">
        <w:rPr>
          <w:rFonts w:eastAsia="Times New Roman" w:cstheme="minorHAnsi"/>
          <w:sz w:val="20"/>
          <w:szCs w:val="20"/>
        </w:rPr>
        <w:t>Forex</w:t>
      </w:r>
      <w:proofErr w:type="spellEnd"/>
      <w:r w:rsidRPr="00A907EB">
        <w:rPr>
          <w:rFonts w:eastAsia="Times New Roman" w:cstheme="minorHAnsi"/>
          <w:sz w:val="20"/>
          <w:szCs w:val="20"/>
        </w:rPr>
        <w:t xml:space="preserve"> trading in Nigeria.</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Key Metrics</w:t>
      </w:r>
    </w:p>
    <w:p w:rsidR="00A907EB" w:rsidRPr="00A907EB" w:rsidRDefault="00A907EB" w:rsidP="00A907EB">
      <w:pPr>
        <w:numPr>
          <w:ilvl w:val="0"/>
          <w:numId w:val="16"/>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Value at Risk (</w:t>
      </w:r>
      <w:proofErr w:type="spellStart"/>
      <w:r w:rsidRPr="0084229B">
        <w:rPr>
          <w:rFonts w:eastAsia="Times New Roman" w:cstheme="minorHAnsi"/>
          <w:b/>
          <w:bCs/>
          <w:sz w:val="20"/>
          <w:szCs w:val="20"/>
        </w:rPr>
        <w:t>VaR</w:t>
      </w:r>
      <w:proofErr w:type="spellEnd"/>
      <w:r w:rsidRPr="0084229B">
        <w:rPr>
          <w:rFonts w:eastAsia="Times New Roman" w:cstheme="minorHAnsi"/>
          <w:b/>
          <w:bCs/>
          <w:sz w:val="20"/>
          <w:szCs w:val="20"/>
        </w:rPr>
        <w:t>)</w:t>
      </w:r>
      <w:r w:rsidRPr="00A907EB">
        <w:rPr>
          <w:rFonts w:eastAsia="Times New Roman" w:cstheme="minorHAnsi"/>
          <w:sz w:val="20"/>
          <w:szCs w:val="20"/>
        </w:rPr>
        <w:t>: Potential losses in adverse market conditions.</w:t>
      </w:r>
    </w:p>
    <w:p w:rsidR="00A907EB" w:rsidRPr="00A907EB" w:rsidRDefault="00A907EB" w:rsidP="00A907EB">
      <w:pPr>
        <w:numPr>
          <w:ilvl w:val="0"/>
          <w:numId w:val="16"/>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Expected Shortfall</w:t>
      </w:r>
      <w:r w:rsidRPr="00A907EB">
        <w:rPr>
          <w:rFonts w:eastAsia="Times New Roman" w:cstheme="minorHAnsi"/>
          <w:sz w:val="20"/>
          <w:szCs w:val="20"/>
        </w:rPr>
        <w:t>: Average of the worst losses.</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Visualizations</w:t>
      </w:r>
    </w:p>
    <w:p w:rsidR="00A907EB" w:rsidRPr="00A907EB" w:rsidRDefault="00A907EB" w:rsidP="00A907EB">
      <w:pPr>
        <w:numPr>
          <w:ilvl w:val="0"/>
          <w:numId w:val="17"/>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 xml:space="preserve">Risk </w:t>
      </w:r>
      <w:proofErr w:type="spellStart"/>
      <w:r w:rsidRPr="0084229B">
        <w:rPr>
          <w:rFonts w:eastAsia="Times New Roman" w:cstheme="minorHAnsi"/>
          <w:b/>
          <w:bCs/>
          <w:sz w:val="20"/>
          <w:szCs w:val="20"/>
        </w:rPr>
        <w:t>Heatmap</w:t>
      </w:r>
      <w:proofErr w:type="spellEnd"/>
      <w:r w:rsidRPr="00A907EB">
        <w:rPr>
          <w:rFonts w:eastAsia="Times New Roman" w:cstheme="minorHAnsi"/>
          <w:sz w:val="20"/>
          <w:szCs w:val="20"/>
        </w:rPr>
        <w:t>: Visualization of risk metrics.</w:t>
      </w:r>
    </w:p>
    <w:p w:rsidR="00A907EB" w:rsidRPr="00A907EB" w:rsidRDefault="00A907EB" w:rsidP="00A907EB">
      <w:pPr>
        <w:numPr>
          <w:ilvl w:val="0"/>
          <w:numId w:val="17"/>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Drawdown Curve</w:t>
      </w:r>
      <w:r w:rsidRPr="00A907EB">
        <w:rPr>
          <w:rFonts w:eastAsia="Times New Roman" w:cstheme="minorHAnsi"/>
          <w:sz w:val="20"/>
          <w:szCs w:val="20"/>
        </w:rPr>
        <w:t>: Analysis of potential drawdowns.</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lastRenderedPageBreak/>
        <w:t>Insights</w:t>
      </w:r>
    </w:p>
    <w:p w:rsidR="00A907EB" w:rsidRPr="00A907EB" w:rsidRDefault="00A907EB" w:rsidP="00A907EB">
      <w:pPr>
        <w:numPr>
          <w:ilvl w:val="0"/>
          <w:numId w:val="18"/>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NGN/USD carries the highest risk due to high volatility.</w:t>
      </w:r>
    </w:p>
    <w:p w:rsidR="00A907EB" w:rsidRPr="00A907EB" w:rsidRDefault="00A907EB" w:rsidP="00A907EB">
      <w:pPr>
        <w:numPr>
          <w:ilvl w:val="0"/>
          <w:numId w:val="18"/>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Diversification across multiple currencies can mitigate some risks.</w:t>
      </w:r>
    </w:p>
    <w:p w:rsidR="00A907EB" w:rsidRPr="00A907EB" w:rsidRDefault="00A907EB" w:rsidP="00A907EB">
      <w:pPr>
        <w:numPr>
          <w:ilvl w:val="0"/>
          <w:numId w:val="18"/>
        </w:numPr>
        <w:spacing w:before="100" w:beforeAutospacing="1" w:after="100" w:afterAutospacing="1" w:line="240" w:lineRule="auto"/>
        <w:rPr>
          <w:rFonts w:eastAsia="Times New Roman" w:cstheme="minorHAnsi"/>
          <w:sz w:val="20"/>
          <w:szCs w:val="20"/>
        </w:rPr>
      </w:pPr>
      <w:r w:rsidRPr="00A907EB">
        <w:rPr>
          <w:rFonts w:eastAsia="Times New Roman" w:cstheme="minorHAnsi"/>
          <w:sz w:val="20"/>
          <w:szCs w:val="20"/>
        </w:rPr>
        <w:t>Implementing hedging strategies is recommended to manage potential losses.</w:t>
      </w:r>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30" style="width:0;height:1.5pt" o:hralign="center" o:hrstd="t" o:hr="t" fillcolor="#a0a0a0" stroked="f"/>
        </w:pict>
      </w:r>
    </w:p>
    <w:p w:rsidR="00A907EB" w:rsidRPr="00A907EB" w:rsidRDefault="00A907EB" w:rsidP="00A907EB">
      <w:pPr>
        <w:spacing w:before="100" w:beforeAutospacing="1" w:after="100" w:afterAutospacing="1" w:line="240" w:lineRule="auto"/>
        <w:outlineLvl w:val="1"/>
        <w:rPr>
          <w:rFonts w:eastAsia="Times New Roman" w:cstheme="minorHAnsi"/>
          <w:b/>
          <w:bCs/>
          <w:sz w:val="20"/>
          <w:szCs w:val="20"/>
        </w:rPr>
      </w:pPr>
      <w:r w:rsidRPr="00A907EB">
        <w:rPr>
          <w:rFonts w:eastAsia="Times New Roman" w:cstheme="minorHAnsi"/>
          <w:b/>
          <w:bCs/>
          <w:sz w:val="20"/>
          <w:szCs w:val="20"/>
        </w:rPr>
        <w:t>5. Conclusion and Recommendations</w:t>
      </w:r>
    </w:p>
    <w:p w:rsidR="00A907EB" w:rsidRPr="00A907EB" w:rsidRDefault="00A907EB" w:rsidP="00A907EB">
      <w:pPr>
        <w:numPr>
          <w:ilvl w:val="0"/>
          <w:numId w:val="19"/>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Current Trends</w:t>
      </w:r>
      <w:r w:rsidRPr="00A907EB">
        <w:rPr>
          <w:rFonts w:eastAsia="Times New Roman" w:cstheme="minorHAnsi"/>
          <w:sz w:val="20"/>
          <w:szCs w:val="20"/>
        </w:rPr>
        <w:t>: NGN shows a bullish trend against USD and a stable trend against EUR.</w:t>
      </w:r>
    </w:p>
    <w:p w:rsidR="00A907EB" w:rsidRPr="00A907EB" w:rsidRDefault="00A907EB" w:rsidP="00A907EB">
      <w:pPr>
        <w:numPr>
          <w:ilvl w:val="0"/>
          <w:numId w:val="19"/>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Performance</w:t>
      </w:r>
      <w:r w:rsidRPr="00A907EB">
        <w:rPr>
          <w:rFonts w:eastAsia="Times New Roman" w:cstheme="minorHAnsi"/>
          <w:sz w:val="20"/>
          <w:szCs w:val="20"/>
        </w:rPr>
        <w:t>: NGN has outperformed against GBP over the last quarter.</w:t>
      </w:r>
    </w:p>
    <w:p w:rsidR="00A907EB" w:rsidRPr="00A907EB" w:rsidRDefault="00A907EB" w:rsidP="00A907EB">
      <w:pPr>
        <w:numPr>
          <w:ilvl w:val="0"/>
          <w:numId w:val="19"/>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Volatility</w:t>
      </w:r>
      <w:r w:rsidRPr="00A907EB">
        <w:rPr>
          <w:rFonts w:eastAsia="Times New Roman" w:cstheme="minorHAnsi"/>
          <w:sz w:val="20"/>
          <w:szCs w:val="20"/>
        </w:rPr>
        <w:t>: Increased volatility observed in the NGN/USD pair, indicating higher risk.</w: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Recommendations</w:t>
      </w:r>
    </w:p>
    <w:p w:rsidR="00A907EB" w:rsidRPr="00A907EB" w:rsidRDefault="00A907EB" w:rsidP="00A907EB">
      <w:pPr>
        <w:numPr>
          <w:ilvl w:val="0"/>
          <w:numId w:val="20"/>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Hedging Strategies</w:t>
      </w:r>
      <w:r w:rsidRPr="00A907EB">
        <w:rPr>
          <w:rFonts w:eastAsia="Times New Roman" w:cstheme="minorHAnsi"/>
          <w:sz w:val="20"/>
          <w:szCs w:val="20"/>
        </w:rPr>
        <w:t>: Implement hedging strategies to manage volatility risks.</w:t>
      </w:r>
    </w:p>
    <w:p w:rsidR="00A907EB" w:rsidRPr="00A907EB" w:rsidRDefault="00A907EB" w:rsidP="00A907EB">
      <w:pPr>
        <w:numPr>
          <w:ilvl w:val="0"/>
          <w:numId w:val="20"/>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Monitoring Economic Indicators</w:t>
      </w:r>
      <w:r w:rsidRPr="00A907EB">
        <w:rPr>
          <w:rFonts w:eastAsia="Times New Roman" w:cstheme="minorHAnsi"/>
          <w:sz w:val="20"/>
          <w:szCs w:val="20"/>
        </w:rPr>
        <w:t>: Closely monitor interest rate changes and inflation rates for better forecasting.</w:t>
      </w:r>
    </w:p>
    <w:p w:rsidR="00A907EB" w:rsidRPr="00A907EB" w:rsidRDefault="00A907EB" w:rsidP="00A907EB">
      <w:pPr>
        <w:numPr>
          <w:ilvl w:val="0"/>
          <w:numId w:val="20"/>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Diversification</w:t>
      </w:r>
      <w:r w:rsidRPr="00A907EB">
        <w:rPr>
          <w:rFonts w:eastAsia="Times New Roman" w:cstheme="minorHAnsi"/>
          <w:sz w:val="20"/>
          <w:szCs w:val="20"/>
        </w:rPr>
        <w:t>: Diversify currency exposure to mitigate risks associated with NGN fluctuations.</w:t>
      </w:r>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31" style="width:0;height:1.5pt" o:hralign="center" o:hrstd="t" o:hr="t" fillcolor="#a0a0a0" stroked="f"/>
        </w:pict>
      </w:r>
    </w:p>
    <w:p w:rsidR="00A907EB" w:rsidRPr="00A907EB" w:rsidRDefault="00A907EB" w:rsidP="00A907EB">
      <w:pPr>
        <w:spacing w:before="100" w:beforeAutospacing="1" w:after="100" w:afterAutospacing="1" w:line="240" w:lineRule="auto"/>
        <w:outlineLvl w:val="2"/>
        <w:rPr>
          <w:rFonts w:eastAsia="Times New Roman" w:cstheme="minorHAnsi"/>
          <w:b/>
          <w:bCs/>
          <w:sz w:val="20"/>
          <w:szCs w:val="20"/>
        </w:rPr>
      </w:pPr>
      <w:r w:rsidRPr="00A907EB">
        <w:rPr>
          <w:rFonts w:eastAsia="Times New Roman" w:cstheme="minorHAnsi"/>
          <w:b/>
          <w:bCs/>
          <w:sz w:val="20"/>
          <w:szCs w:val="20"/>
        </w:rPr>
        <w:t>Methodology</w:t>
      </w:r>
    </w:p>
    <w:p w:rsidR="00A907EB" w:rsidRPr="00A907EB" w:rsidRDefault="00A907EB" w:rsidP="00A907EB">
      <w:pPr>
        <w:numPr>
          <w:ilvl w:val="0"/>
          <w:numId w:val="22"/>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Data Collection</w:t>
      </w:r>
      <w:r w:rsidRPr="00A907EB">
        <w:rPr>
          <w:rFonts w:eastAsia="Times New Roman" w:cstheme="minorHAnsi"/>
          <w:sz w:val="20"/>
          <w:szCs w:val="20"/>
        </w:rPr>
        <w:t>: APIs, Web Scraping</w:t>
      </w:r>
    </w:p>
    <w:p w:rsidR="00A907EB" w:rsidRPr="00A907EB" w:rsidRDefault="00A907EB" w:rsidP="00A907EB">
      <w:pPr>
        <w:numPr>
          <w:ilvl w:val="0"/>
          <w:numId w:val="22"/>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Data Analysis</w:t>
      </w:r>
      <w:r w:rsidRPr="00A907EB">
        <w:rPr>
          <w:rFonts w:eastAsia="Times New Roman" w:cstheme="minorHAnsi"/>
          <w:sz w:val="20"/>
          <w:szCs w:val="20"/>
        </w:rPr>
        <w:t xml:space="preserve">: Python (Pandas, </w:t>
      </w:r>
      <w:proofErr w:type="spellStart"/>
      <w:r w:rsidRPr="00A907EB">
        <w:rPr>
          <w:rFonts w:eastAsia="Times New Roman" w:cstheme="minorHAnsi"/>
          <w:sz w:val="20"/>
          <w:szCs w:val="20"/>
        </w:rPr>
        <w:t>NumPy</w:t>
      </w:r>
      <w:proofErr w:type="spellEnd"/>
      <w:r w:rsidRPr="00A907EB">
        <w:rPr>
          <w:rFonts w:eastAsia="Times New Roman" w:cstheme="minorHAnsi"/>
          <w:sz w:val="20"/>
          <w:szCs w:val="20"/>
        </w:rPr>
        <w:t>)</w:t>
      </w:r>
    </w:p>
    <w:p w:rsidR="00A907EB" w:rsidRPr="00A907EB" w:rsidRDefault="00A907EB" w:rsidP="00A907EB">
      <w:pPr>
        <w:numPr>
          <w:ilvl w:val="0"/>
          <w:numId w:val="22"/>
        </w:numPr>
        <w:spacing w:before="100" w:beforeAutospacing="1" w:after="100" w:afterAutospacing="1" w:line="240" w:lineRule="auto"/>
        <w:rPr>
          <w:rFonts w:eastAsia="Times New Roman" w:cstheme="minorHAnsi"/>
          <w:sz w:val="20"/>
          <w:szCs w:val="20"/>
        </w:rPr>
      </w:pPr>
      <w:r w:rsidRPr="0084229B">
        <w:rPr>
          <w:rFonts w:eastAsia="Times New Roman" w:cstheme="minorHAnsi"/>
          <w:b/>
          <w:bCs/>
          <w:sz w:val="20"/>
          <w:szCs w:val="20"/>
        </w:rPr>
        <w:t>Visualization</w:t>
      </w:r>
      <w:r w:rsidRPr="00A907EB">
        <w:rPr>
          <w:rFonts w:eastAsia="Times New Roman" w:cstheme="minorHAnsi"/>
          <w:sz w:val="20"/>
          <w:szCs w:val="20"/>
        </w:rPr>
        <w:t xml:space="preserve">: </w:t>
      </w:r>
      <w:proofErr w:type="spellStart"/>
      <w:r w:rsidRPr="00A907EB">
        <w:rPr>
          <w:rFonts w:eastAsia="Times New Roman" w:cstheme="minorHAnsi"/>
          <w:sz w:val="20"/>
          <w:szCs w:val="20"/>
        </w:rPr>
        <w:t>Matplotlib</w:t>
      </w:r>
      <w:proofErr w:type="spellEnd"/>
      <w:r w:rsidRPr="00A907EB">
        <w:rPr>
          <w:rFonts w:eastAsia="Times New Roman" w:cstheme="minorHAnsi"/>
          <w:sz w:val="20"/>
          <w:szCs w:val="20"/>
        </w:rPr>
        <w:t xml:space="preserve">, </w:t>
      </w:r>
      <w:proofErr w:type="spellStart"/>
      <w:r w:rsidRPr="00A907EB">
        <w:rPr>
          <w:rFonts w:eastAsia="Times New Roman" w:cstheme="minorHAnsi"/>
          <w:sz w:val="20"/>
          <w:szCs w:val="20"/>
        </w:rPr>
        <w:t>Seaborn</w:t>
      </w:r>
      <w:proofErr w:type="spellEnd"/>
    </w:p>
    <w:p w:rsidR="00A907EB" w:rsidRPr="00A907EB" w:rsidRDefault="00A907EB" w:rsidP="00A907EB">
      <w:pPr>
        <w:spacing w:after="0" w:line="240" w:lineRule="auto"/>
        <w:rPr>
          <w:rFonts w:eastAsia="Times New Roman" w:cstheme="minorHAnsi"/>
          <w:sz w:val="20"/>
          <w:szCs w:val="20"/>
        </w:rPr>
      </w:pPr>
      <w:r w:rsidRPr="00A907EB">
        <w:rPr>
          <w:rFonts w:eastAsia="Times New Roman" w:cstheme="minorHAnsi"/>
          <w:sz w:val="20"/>
          <w:szCs w:val="20"/>
        </w:rPr>
        <w:pict>
          <v:rect id="_x0000_i1032" style="width:0;height:1.5pt" o:hralign="center" o:hrstd="t" o:hr="t" fillcolor="#a0a0a0" stroked="f"/>
        </w:pict>
      </w:r>
    </w:p>
    <w:p w:rsidR="00A907EB" w:rsidRPr="00A907EB" w:rsidRDefault="00A907EB" w:rsidP="00910D53">
      <w:pPr>
        <w:spacing w:after="0" w:line="240" w:lineRule="auto"/>
        <w:rPr>
          <w:rFonts w:eastAsia="Times New Roman" w:cstheme="minorHAnsi"/>
          <w:sz w:val="20"/>
          <w:szCs w:val="20"/>
        </w:rPr>
      </w:pPr>
      <w:r w:rsidRPr="00A907EB">
        <w:rPr>
          <w:rFonts w:eastAsia="Times New Roman" w:cstheme="minorHAnsi"/>
          <w:vanish/>
          <w:sz w:val="20"/>
          <w:szCs w:val="20"/>
        </w:rPr>
        <w:t>Top of Form</w:t>
      </w:r>
    </w:p>
    <w:p w:rsidR="00A907EB" w:rsidRPr="00A907EB" w:rsidRDefault="00A907EB" w:rsidP="00A907EB">
      <w:pPr>
        <w:pBdr>
          <w:top w:val="single" w:sz="6" w:space="1" w:color="auto"/>
        </w:pBdr>
        <w:spacing w:after="0" w:line="240" w:lineRule="auto"/>
        <w:jc w:val="center"/>
        <w:rPr>
          <w:rFonts w:eastAsia="Times New Roman" w:cstheme="minorHAnsi"/>
          <w:vanish/>
          <w:sz w:val="20"/>
          <w:szCs w:val="20"/>
        </w:rPr>
      </w:pPr>
      <w:r w:rsidRPr="00A907EB">
        <w:rPr>
          <w:rFonts w:eastAsia="Times New Roman" w:cstheme="minorHAnsi"/>
          <w:vanish/>
          <w:sz w:val="20"/>
          <w:szCs w:val="20"/>
        </w:rPr>
        <w:t>Bottom of Form</w:t>
      </w:r>
    </w:p>
    <w:p w:rsidR="002305C1" w:rsidRPr="0084229B" w:rsidRDefault="002305C1">
      <w:pPr>
        <w:rPr>
          <w:rFonts w:cstheme="minorHAnsi"/>
          <w:sz w:val="20"/>
          <w:szCs w:val="20"/>
        </w:rPr>
      </w:pPr>
    </w:p>
    <w:sectPr w:rsidR="002305C1" w:rsidRPr="00842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CB3"/>
    <w:multiLevelType w:val="multilevel"/>
    <w:tmpl w:val="ACD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51FA3"/>
    <w:multiLevelType w:val="multilevel"/>
    <w:tmpl w:val="C21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664C6"/>
    <w:multiLevelType w:val="multilevel"/>
    <w:tmpl w:val="78CE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17339"/>
    <w:multiLevelType w:val="multilevel"/>
    <w:tmpl w:val="357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6496D"/>
    <w:multiLevelType w:val="multilevel"/>
    <w:tmpl w:val="5BCE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E1D40"/>
    <w:multiLevelType w:val="multilevel"/>
    <w:tmpl w:val="A78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40E19"/>
    <w:multiLevelType w:val="multilevel"/>
    <w:tmpl w:val="F10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F6202"/>
    <w:multiLevelType w:val="multilevel"/>
    <w:tmpl w:val="866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B640E"/>
    <w:multiLevelType w:val="multilevel"/>
    <w:tmpl w:val="67B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B4244"/>
    <w:multiLevelType w:val="multilevel"/>
    <w:tmpl w:val="CE0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A7B0E"/>
    <w:multiLevelType w:val="multilevel"/>
    <w:tmpl w:val="416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914E8"/>
    <w:multiLevelType w:val="multilevel"/>
    <w:tmpl w:val="7276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C673A5"/>
    <w:multiLevelType w:val="multilevel"/>
    <w:tmpl w:val="AF3C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D37D2"/>
    <w:multiLevelType w:val="multilevel"/>
    <w:tmpl w:val="665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31D2D"/>
    <w:multiLevelType w:val="multilevel"/>
    <w:tmpl w:val="DEE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645275"/>
    <w:multiLevelType w:val="multilevel"/>
    <w:tmpl w:val="4EF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683A89"/>
    <w:multiLevelType w:val="multilevel"/>
    <w:tmpl w:val="9DB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4A0679"/>
    <w:multiLevelType w:val="multilevel"/>
    <w:tmpl w:val="F0BC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0827D0"/>
    <w:multiLevelType w:val="multilevel"/>
    <w:tmpl w:val="1262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FB3B24"/>
    <w:multiLevelType w:val="multilevel"/>
    <w:tmpl w:val="3A2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182833"/>
    <w:multiLevelType w:val="multilevel"/>
    <w:tmpl w:val="CFA6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4F10A1"/>
    <w:multiLevelType w:val="multilevel"/>
    <w:tmpl w:val="2C4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
  </w:num>
  <w:num w:numId="4">
    <w:abstractNumId w:val="10"/>
  </w:num>
  <w:num w:numId="5">
    <w:abstractNumId w:val="5"/>
  </w:num>
  <w:num w:numId="6">
    <w:abstractNumId w:val="18"/>
  </w:num>
  <w:num w:numId="7">
    <w:abstractNumId w:val="7"/>
  </w:num>
  <w:num w:numId="8">
    <w:abstractNumId w:val="13"/>
  </w:num>
  <w:num w:numId="9">
    <w:abstractNumId w:val="15"/>
  </w:num>
  <w:num w:numId="10">
    <w:abstractNumId w:val="20"/>
  </w:num>
  <w:num w:numId="11">
    <w:abstractNumId w:val="1"/>
  </w:num>
  <w:num w:numId="12">
    <w:abstractNumId w:val="21"/>
  </w:num>
  <w:num w:numId="13">
    <w:abstractNumId w:val="11"/>
  </w:num>
  <w:num w:numId="14">
    <w:abstractNumId w:val="14"/>
  </w:num>
  <w:num w:numId="15">
    <w:abstractNumId w:val="8"/>
  </w:num>
  <w:num w:numId="16">
    <w:abstractNumId w:val="3"/>
  </w:num>
  <w:num w:numId="17">
    <w:abstractNumId w:val="4"/>
  </w:num>
  <w:num w:numId="18">
    <w:abstractNumId w:val="12"/>
  </w:num>
  <w:num w:numId="19">
    <w:abstractNumId w:val="17"/>
  </w:num>
  <w:num w:numId="20">
    <w:abstractNumId w:val="0"/>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21"/>
    <w:rsid w:val="0014703F"/>
    <w:rsid w:val="002305C1"/>
    <w:rsid w:val="002A411E"/>
    <w:rsid w:val="005E1C40"/>
    <w:rsid w:val="0084229B"/>
    <w:rsid w:val="00851054"/>
    <w:rsid w:val="00910D53"/>
    <w:rsid w:val="00A907EB"/>
    <w:rsid w:val="00BD291B"/>
    <w:rsid w:val="00C4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0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7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07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0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7EB"/>
    <w:rPr>
      <w:b/>
      <w:bCs/>
    </w:rPr>
  </w:style>
  <w:style w:type="paragraph" w:styleId="HTMLPreformatted">
    <w:name w:val="HTML Preformatted"/>
    <w:basedOn w:val="Normal"/>
    <w:link w:val="HTMLPreformattedChar"/>
    <w:uiPriority w:val="99"/>
    <w:semiHidden/>
    <w:unhideWhenUsed/>
    <w:rsid w:val="00A9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7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07EB"/>
    <w:rPr>
      <w:rFonts w:ascii="Courier New" w:eastAsia="Times New Roman" w:hAnsi="Courier New" w:cs="Courier New"/>
      <w:sz w:val="20"/>
      <w:szCs w:val="20"/>
    </w:rPr>
  </w:style>
  <w:style w:type="character" w:customStyle="1" w:styleId="hljs-keyword">
    <w:name w:val="hljs-keyword"/>
    <w:basedOn w:val="DefaultParagraphFont"/>
    <w:rsid w:val="00A907EB"/>
  </w:style>
  <w:style w:type="character" w:customStyle="1" w:styleId="hljs-comment">
    <w:name w:val="hljs-comment"/>
    <w:basedOn w:val="DefaultParagraphFont"/>
    <w:rsid w:val="00A907EB"/>
  </w:style>
  <w:style w:type="character" w:customStyle="1" w:styleId="hljs-string">
    <w:name w:val="hljs-string"/>
    <w:basedOn w:val="DefaultParagraphFont"/>
    <w:rsid w:val="00A907EB"/>
  </w:style>
  <w:style w:type="character" w:customStyle="1" w:styleId="hljs-number">
    <w:name w:val="hljs-number"/>
    <w:basedOn w:val="DefaultParagraphFont"/>
    <w:rsid w:val="00A907EB"/>
  </w:style>
  <w:style w:type="character" w:customStyle="1" w:styleId="hljs-title">
    <w:name w:val="hljs-title"/>
    <w:basedOn w:val="DefaultParagraphFont"/>
    <w:rsid w:val="00A907EB"/>
  </w:style>
  <w:style w:type="character" w:customStyle="1" w:styleId="hljs-params">
    <w:name w:val="hljs-params"/>
    <w:basedOn w:val="DefaultParagraphFont"/>
    <w:rsid w:val="00A907EB"/>
  </w:style>
  <w:style w:type="character" w:customStyle="1" w:styleId="hljs-subst">
    <w:name w:val="hljs-subst"/>
    <w:basedOn w:val="DefaultParagraphFont"/>
    <w:rsid w:val="00A907EB"/>
  </w:style>
  <w:style w:type="character" w:customStyle="1" w:styleId="hljs-builtin">
    <w:name w:val="hljs-built_in"/>
    <w:basedOn w:val="DefaultParagraphFont"/>
    <w:rsid w:val="00A907EB"/>
  </w:style>
  <w:style w:type="character" w:customStyle="1" w:styleId="hljs-literal">
    <w:name w:val="hljs-literal"/>
    <w:basedOn w:val="DefaultParagraphFont"/>
    <w:rsid w:val="00A907EB"/>
  </w:style>
  <w:style w:type="character" w:customStyle="1" w:styleId="line-clamp-1">
    <w:name w:val="line-clamp-1"/>
    <w:basedOn w:val="DefaultParagraphFont"/>
    <w:rsid w:val="00A907EB"/>
  </w:style>
  <w:style w:type="paragraph" w:styleId="z-TopofForm">
    <w:name w:val="HTML Top of Form"/>
    <w:basedOn w:val="Normal"/>
    <w:next w:val="Normal"/>
    <w:link w:val="z-TopofFormChar"/>
    <w:hidden/>
    <w:uiPriority w:val="99"/>
    <w:semiHidden/>
    <w:unhideWhenUsed/>
    <w:rsid w:val="00A907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7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07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7E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0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7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07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0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7EB"/>
    <w:rPr>
      <w:b/>
      <w:bCs/>
    </w:rPr>
  </w:style>
  <w:style w:type="paragraph" w:styleId="HTMLPreformatted">
    <w:name w:val="HTML Preformatted"/>
    <w:basedOn w:val="Normal"/>
    <w:link w:val="HTMLPreformattedChar"/>
    <w:uiPriority w:val="99"/>
    <w:semiHidden/>
    <w:unhideWhenUsed/>
    <w:rsid w:val="00A9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7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07EB"/>
    <w:rPr>
      <w:rFonts w:ascii="Courier New" w:eastAsia="Times New Roman" w:hAnsi="Courier New" w:cs="Courier New"/>
      <w:sz w:val="20"/>
      <w:szCs w:val="20"/>
    </w:rPr>
  </w:style>
  <w:style w:type="character" w:customStyle="1" w:styleId="hljs-keyword">
    <w:name w:val="hljs-keyword"/>
    <w:basedOn w:val="DefaultParagraphFont"/>
    <w:rsid w:val="00A907EB"/>
  </w:style>
  <w:style w:type="character" w:customStyle="1" w:styleId="hljs-comment">
    <w:name w:val="hljs-comment"/>
    <w:basedOn w:val="DefaultParagraphFont"/>
    <w:rsid w:val="00A907EB"/>
  </w:style>
  <w:style w:type="character" w:customStyle="1" w:styleId="hljs-string">
    <w:name w:val="hljs-string"/>
    <w:basedOn w:val="DefaultParagraphFont"/>
    <w:rsid w:val="00A907EB"/>
  </w:style>
  <w:style w:type="character" w:customStyle="1" w:styleId="hljs-number">
    <w:name w:val="hljs-number"/>
    <w:basedOn w:val="DefaultParagraphFont"/>
    <w:rsid w:val="00A907EB"/>
  </w:style>
  <w:style w:type="character" w:customStyle="1" w:styleId="hljs-title">
    <w:name w:val="hljs-title"/>
    <w:basedOn w:val="DefaultParagraphFont"/>
    <w:rsid w:val="00A907EB"/>
  </w:style>
  <w:style w:type="character" w:customStyle="1" w:styleId="hljs-params">
    <w:name w:val="hljs-params"/>
    <w:basedOn w:val="DefaultParagraphFont"/>
    <w:rsid w:val="00A907EB"/>
  </w:style>
  <w:style w:type="character" w:customStyle="1" w:styleId="hljs-subst">
    <w:name w:val="hljs-subst"/>
    <w:basedOn w:val="DefaultParagraphFont"/>
    <w:rsid w:val="00A907EB"/>
  </w:style>
  <w:style w:type="character" w:customStyle="1" w:styleId="hljs-builtin">
    <w:name w:val="hljs-built_in"/>
    <w:basedOn w:val="DefaultParagraphFont"/>
    <w:rsid w:val="00A907EB"/>
  </w:style>
  <w:style w:type="character" w:customStyle="1" w:styleId="hljs-literal">
    <w:name w:val="hljs-literal"/>
    <w:basedOn w:val="DefaultParagraphFont"/>
    <w:rsid w:val="00A907EB"/>
  </w:style>
  <w:style w:type="character" w:customStyle="1" w:styleId="line-clamp-1">
    <w:name w:val="line-clamp-1"/>
    <w:basedOn w:val="DefaultParagraphFont"/>
    <w:rsid w:val="00A907EB"/>
  </w:style>
  <w:style w:type="paragraph" w:styleId="z-TopofForm">
    <w:name w:val="HTML Top of Form"/>
    <w:basedOn w:val="Normal"/>
    <w:next w:val="Normal"/>
    <w:link w:val="z-TopofFormChar"/>
    <w:hidden/>
    <w:uiPriority w:val="99"/>
    <w:semiHidden/>
    <w:unhideWhenUsed/>
    <w:rsid w:val="00A907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7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07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7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17731">
      <w:bodyDiv w:val="1"/>
      <w:marLeft w:val="0"/>
      <w:marRight w:val="0"/>
      <w:marTop w:val="0"/>
      <w:marBottom w:val="0"/>
      <w:divBdr>
        <w:top w:val="none" w:sz="0" w:space="0" w:color="auto"/>
        <w:left w:val="none" w:sz="0" w:space="0" w:color="auto"/>
        <w:bottom w:val="none" w:sz="0" w:space="0" w:color="auto"/>
        <w:right w:val="none" w:sz="0" w:space="0" w:color="auto"/>
      </w:divBdr>
      <w:divsChild>
        <w:div w:id="928201420">
          <w:marLeft w:val="0"/>
          <w:marRight w:val="0"/>
          <w:marTop w:val="0"/>
          <w:marBottom w:val="0"/>
          <w:divBdr>
            <w:top w:val="none" w:sz="0" w:space="0" w:color="auto"/>
            <w:left w:val="none" w:sz="0" w:space="0" w:color="auto"/>
            <w:bottom w:val="none" w:sz="0" w:space="0" w:color="auto"/>
            <w:right w:val="none" w:sz="0" w:space="0" w:color="auto"/>
          </w:divBdr>
          <w:divsChild>
            <w:div w:id="785271521">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sChild>
                    <w:div w:id="1742407552">
                      <w:marLeft w:val="0"/>
                      <w:marRight w:val="0"/>
                      <w:marTop w:val="0"/>
                      <w:marBottom w:val="0"/>
                      <w:divBdr>
                        <w:top w:val="none" w:sz="0" w:space="0" w:color="auto"/>
                        <w:left w:val="none" w:sz="0" w:space="0" w:color="auto"/>
                        <w:bottom w:val="none" w:sz="0" w:space="0" w:color="auto"/>
                        <w:right w:val="none" w:sz="0" w:space="0" w:color="auto"/>
                      </w:divBdr>
                      <w:divsChild>
                        <w:div w:id="978145325">
                          <w:marLeft w:val="0"/>
                          <w:marRight w:val="0"/>
                          <w:marTop w:val="0"/>
                          <w:marBottom w:val="0"/>
                          <w:divBdr>
                            <w:top w:val="none" w:sz="0" w:space="0" w:color="auto"/>
                            <w:left w:val="none" w:sz="0" w:space="0" w:color="auto"/>
                            <w:bottom w:val="none" w:sz="0" w:space="0" w:color="auto"/>
                            <w:right w:val="none" w:sz="0" w:space="0" w:color="auto"/>
                          </w:divBdr>
                          <w:divsChild>
                            <w:div w:id="1530560486">
                              <w:marLeft w:val="0"/>
                              <w:marRight w:val="0"/>
                              <w:marTop w:val="0"/>
                              <w:marBottom w:val="0"/>
                              <w:divBdr>
                                <w:top w:val="none" w:sz="0" w:space="0" w:color="auto"/>
                                <w:left w:val="none" w:sz="0" w:space="0" w:color="auto"/>
                                <w:bottom w:val="none" w:sz="0" w:space="0" w:color="auto"/>
                                <w:right w:val="none" w:sz="0" w:space="0" w:color="auto"/>
                              </w:divBdr>
                              <w:divsChild>
                                <w:div w:id="985088584">
                                  <w:marLeft w:val="0"/>
                                  <w:marRight w:val="0"/>
                                  <w:marTop w:val="0"/>
                                  <w:marBottom w:val="0"/>
                                  <w:divBdr>
                                    <w:top w:val="none" w:sz="0" w:space="0" w:color="auto"/>
                                    <w:left w:val="none" w:sz="0" w:space="0" w:color="auto"/>
                                    <w:bottom w:val="none" w:sz="0" w:space="0" w:color="auto"/>
                                    <w:right w:val="none" w:sz="0" w:space="0" w:color="auto"/>
                                  </w:divBdr>
                                  <w:divsChild>
                                    <w:div w:id="897475489">
                                      <w:marLeft w:val="0"/>
                                      <w:marRight w:val="0"/>
                                      <w:marTop w:val="0"/>
                                      <w:marBottom w:val="0"/>
                                      <w:divBdr>
                                        <w:top w:val="none" w:sz="0" w:space="0" w:color="auto"/>
                                        <w:left w:val="none" w:sz="0" w:space="0" w:color="auto"/>
                                        <w:bottom w:val="none" w:sz="0" w:space="0" w:color="auto"/>
                                        <w:right w:val="none" w:sz="0" w:space="0" w:color="auto"/>
                                      </w:divBdr>
                                      <w:divsChild>
                                        <w:div w:id="626085518">
                                          <w:marLeft w:val="0"/>
                                          <w:marRight w:val="0"/>
                                          <w:marTop w:val="0"/>
                                          <w:marBottom w:val="0"/>
                                          <w:divBdr>
                                            <w:top w:val="none" w:sz="0" w:space="0" w:color="auto"/>
                                            <w:left w:val="none" w:sz="0" w:space="0" w:color="auto"/>
                                            <w:bottom w:val="none" w:sz="0" w:space="0" w:color="auto"/>
                                            <w:right w:val="none" w:sz="0" w:space="0" w:color="auto"/>
                                          </w:divBdr>
                                          <w:divsChild>
                                            <w:div w:id="1495873682">
                                              <w:marLeft w:val="0"/>
                                              <w:marRight w:val="0"/>
                                              <w:marTop w:val="0"/>
                                              <w:marBottom w:val="0"/>
                                              <w:divBdr>
                                                <w:top w:val="none" w:sz="0" w:space="0" w:color="auto"/>
                                                <w:left w:val="none" w:sz="0" w:space="0" w:color="auto"/>
                                                <w:bottom w:val="none" w:sz="0" w:space="0" w:color="auto"/>
                                                <w:right w:val="none" w:sz="0" w:space="0" w:color="auto"/>
                                              </w:divBdr>
                                              <w:divsChild>
                                                <w:div w:id="81220986">
                                                  <w:marLeft w:val="0"/>
                                                  <w:marRight w:val="0"/>
                                                  <w:marTop w:val="0"/>
                                                  <w:marBottom w:val="0"/>
                                                  <w:divBdr>
                                                    <w:top w:val="none" w:sz="0" w:space="0" w:color="auto"/>
                                                    <w:left w:val="none" w:sz="0" w:space="0" w:color="auto"/>
                                                    <w:bottom w:val="none" w:sz="0" w:space="0" w:color="auto"/>
                                                    <w:right w:val="none" w:sz="0" w:space="0" w:color="auto"/>
                                                  </w:divBdr>
                                                  <w:divsChild>
                                                    <w:div w:id="434709907">
                                                      <w:marLeft w:val="0"/>
                                                      <w:marRight w:val="0"/>
                                                      <w:marTop w:val="0"/>
                                                      <w:marBottom w:val="0"/>
                                                      <w:divBdr>
                                                        <w:top w:val="none" w:sz="0" w:space="0" w:color="auto"/>
                                                        <w:left w:val="none" w:sz="0" w:space="0" w:color="auto"/>
                                                        <w:bottom w:val="none" w:sz="0" w:space="0" w:color="auto"/>
                                                        <w:right w:val="none" w:sz="0" w:space="0" w:color="auto"/>
                                                      </w:divBdr>
                                                      <w:divsChild>
                                                        <w:div w:id="183440129">
                                                          <w:marLeft w:val="0"/>
                                                          <w:marRight w:val="0"/>
                                                          <w:marTop w:val="0"/>
                                                          <w:marBottom w:val="0"/>
                                                          <w:divBdr>
                                                            <w:top w:val="none" w:sz="0" w:space="0" w:color="auto"/>
                                                            <w:left w:val="none" w:sz="0" w:space="0" w:color="auto"/>
                                                            <w:bottom w:val="none" w:sz="0" w:space="0" w:color="auto"/>
                                                            <w:right w:val="none" w:sz="0" w:space="0" w:color="auto"/>
                                                          </w:divBdr>
                                                          <w:divsChild>
                                                            <w:div w:id="613248953">
                                                              <w:marLeft w:val="0"/>
                                                              <w:marRight w:val="0"/>
                                                              <w:marTop w:val="0"/>
                                                              <w:marBottom w:val="0"/>
                                                              <w:divBdr>
                                                                <w:top w:val="none" w:sz="0" w:space="0" w:color="auto"/>
                                                                <w:left w:val="none" w:sz="0" w:space="0" w:color="auto"/>
                                                                <w:bottom w:val="none" w:sz="0" w:space="0" w:color="auto"/>
                                                                <w:right w:val="none" w:sz="0" w:space="0" w:color="auto"/>
                                                              </w:divBdr>
                                                              <w:divsChild>
                                                                <w:div w:id="1696148107">
                                                                  <w:marLeft w:val="0"/>
                                                                  <w:marRight w:val="0"/>
                                                                  <w:marTop w:val="0"/>
                                                                  <w:marBottom w:val="0"/>
                                                                  <w:divBdr>
                                                                    <w:top w:val="none" w:sz="0" w:space="0" w:color="auto"/>
                                                                    <w:left w:val="none" w:sz="0" w:space="0" w:color="auto"/>
                                                                    <w:bottom w:val="none" w:sz="0" w:space="0" w:color="auto"/>
                                                                    <w:right w:val="none" w:sz="0" w:space="0" w:color="auto"/>
                                                                  </w:divBdr>
                                                                  <w:divsChild>
                                                                    <w:div w:id="254940251">
                                                                      <w:marLeft w:val="0"/>
                                                                      <w:marRight w:val="0"/>
                                                                      <w:marTop w:val="0"/>
                                                                      <w:marBottom w:val="0"/>
                                                                      <w:divBdr>
                                                                        <w:top w:val="none" w:sz="0" w:space="0" w:color="auto"/>
                                                                        <w:left w:val="none" w:sz="0" w:space="0" w:color="auto"/>
                                                                        <w:bottom w:val="none" w:sz="0" w:space="0" w:color="auto"/>
                                                                        <w:right w:val="none" w:sz="0" w:space="0" w:color="auto"/>
                                                                      </w:divBdr>
                                                                    </w:div>
                                                                  </w:divsChild>
                                                                </w:div>
                                                                <w:div w:id="9386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236710">
                                              <w:marLeft w:val="0"/>
                                              <w:marRight w:val="0"/>
                                              <w:marTop w:val="0"/>
                                              <w:marBottom w:val="0"/>
                                              <w:divBdr>
                                                <w:top w:val="none" w:sz="0" w:space="0" w:color="auto"/>
                                                <w:left w:val="none" w:sz="0" w:space="0" w:color="auto"/>
                                                <w:bottom w:val="none" w:sz="0" w:space="0" w:color="auto"/>
                                                <w:right w:val="none" w:sz="0" w:space="0" w:color="auto"/>
                                              </w:divBdr>
                                              <w:divsChild>
                                                <w:div w:id="1684093612">
                                                  <w:marLeft w:val="0"/>
                                                  <w:marRight w:val="0"/>
                                                  <w:marTop w:val="0"/>
                                                  <w:marBottom w:val="0"/>
                                                  <w:divBdr>
                                                    <w:top w:val="none" w:sz="0" w:space="0" w:color="auto"/>
                                                    <w:left w:val="none" w:sz="0" w:space="0" w:color="auto"/>
                                                    <w:bottom w:val="none" w:sz="0" w:space="0" w:color="auto"/>
                                                    <w:right w:val="none" w:sz="0" w:space="0" w:color="auto"/>
                                                  </w:divBdr>
                                                  <w:divsChild>
                                                    <w:div w:id="515772953">
                                                      <w:marLeft w:val="0"/>
                                                      <w:marRight w:val="0"/>
                                                      <w:marTop w:val="0"/>
                                                      <w:marBottom w:val="0"/>
                                                      <w:divBdr>
                                                        <w:top w:val="none" w:sz="0" w:space="0" w:color="auto"/>
                                                        <w:left w:val="none" w:sz="0" w:space="0" w:color="auto"/>
                                                        <w:bottom w:val="none" w:sz="0" w:space="0" w:color="auto"/>
                                                        <w:right w:val="none" w:sz="0" w:space="0" w:color="auto"/>
                                                      </w:divBdr>
                                                      <w:divsChild>
                                                        <w:div w:id="1177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7128247">
          <w:marLeft w:val="0"/>
          <w:marRight w:val="0"/>
          <w:marTop w:val="0"/>
          <w:marBottom w:val="0"/>
          <w:divBdr>
            <w:top w:val="none" w:sz="0" w:space="0" w:color="auto"/>
            <w:left w:val="none" w:sz="0" w:space="0" w:color="auto"/>
            <w:bottom w:val="none" w:sz="0" w:space="0" w:color="auto"/>
            <w:right w:val="none" w:sz="0" w:space="0" w:color="auto"/>
          </w:divBdr>
          <w:divsChild>
            <w:div w:id="1618486892">
              <w:marLeft w:val="0"/>
              <w:marRight w:val="0"/>
              <w:marTop w:val="0"/>
              <w:marBottom w:val="0"/>
              <w:divBdr>
                <w:top w:val="none" w:sz="0" w:space="0" w:color="auto"/>
                <w:left w:val="none" w:sz="0" w:space="0" w:color="auto"/>
                <w:bottom w:val="none" w:sz="0" w:space="0" w:color="auto"/>
                <w:right w:val="none" w:sz="0" w:space="0" w:color="auto"/>
              </w:divBdr>
              <w:divsChild>
                <w:div w:id="11887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Selekere</dc:creator>
  <cp:keywords/>
  <dc:description/>
  <cp:lastModifiedBy>Hannah Selekere</cp:lastModifiedBy>
  <cp:revision>18</cp:revision>
  <dcterms:created xsi:type="dcterms:W3CDTF">2024-06-20T13:56:00Z</dcterms:created>
  <dcterms:modified xsi:type="dcterms:W3CDTF">2024-06-20T14:06:00Z</dcterms:modified>
</cp:coreProperties>
</file>