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Thiết Kế Kiến Trúc Thị Giác Máy Tính Đột Phá Hướng Tới Tạp Chí Q1 IEEE TPAMI Dưới Ràng Buộc Hạ Tầng Phân Tán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Mã Tiêu Chuẩn Thẩm Định Của IEEE TPAMI Và Bài Toán Tối Ưu Hóa Hạ Tầng Kaggle T4x2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IEEE Transactions on Pattern Analysis and Machine Intelligence</w:t>
      </w:r>
      <w:r w:rsidDel="00000000" w:rsidR="00000000" w:rsidRPr="00000000">
        <w:rPr>
          <w:rFonts w:ascii="Google Sans" w:cs="Google Sans" w:eastAsia="Google Sans" w:hAnsi="Google Sans"/>
          <w:color w:val="1f1f1f"/>
          <w:rtl w:val="0"/>
        </w:rPr>
        <w:t xml:space="preserve"> (TPAMI) định vị ở đỉnh cao nhất trong hệ sinh thái xuất bản học thuật ngành Trí tuệ Nhân tạo (AI) và Thị giác Máy tính (Computer Vision)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Theo dữ liệu Journal Citation Reports (JCR), tạp chí sở hữu Hệ số Ảnh hưởng (Impact Factor - IF) đạt 18.6 và IF 5 năm đạt 20.4, xếp thứ 3 trong tổng số 368 tạp chí SCI thuộc danh mục Kỹ thuật Điện và Điện tử, nằm trong nhóm JCR top 0.9% đến 1.1% toàn cầu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Tỷ lệ chấp nhận bài (acceptance rate) của TPAMI chỉ dao động ở mức 15% đến 20%, trong đó phần lớn bản thảo bị từ chối ngay tại bàn biên tập (desk rejection) trước khi bước vào vòng phản biện kín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Thống kê lượng bài xuất bản hàng năm cho thấy sự thắt chặt rõ rệt về tiêu chuẩn kiểm duyệt: sau khi đạt đỉnh 1,205 bài vào năm 2022 và 1,067 bài vào năm 2023, số lượng công bố đã thu hẹp xuống còn 727 bài vào năm 2024 và duy trì ở mức 803 bài vào năm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876800" cy="8382000"/>
            <wp:effectExtent b="0" l="0" r="0" t="0"/>
            <wp:docPr id="3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48768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cấu trúc các quyết định từ chối bài của TPAMI cho thấy một ranh giới khắt khe giữa bài báo hội nghị (CVPR, ICCV, ECCV, NeurIPS) và một công trình tạp chí đích thực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Một bản thảo Regular Paper (giới hạn khoảng 14 trang đôi bao gồm tài liệu tham khảo) sẽ lập tức bị loại nếu chỉ đơn thuần đề xuất một biến thể kiến trúc mang tính chất lắp ghép mô-đun (incremental technical contribution) mà thiếu đi nền tảng toán học giải thích cơ chế hoạt động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Các công trình được chấp nhận trên TPAMI trong giai đoạn 2025–2026 đều hội tụ ba trụ cột bắt buộc về mặt học thuật. Trước hết, công trình phải tạo ra đột phá về bản chất kiến trúc hoặc cơ chế biểu diễn, giải quyết trực tiếp các nút thắt cổ chai nguyên lý của mô hình hiện tại như độ phức tạp bậc hai của Transformer, sự suy giảm trí nhớ dài hạn và phá vỡ cấu trúc không gian của State Space Models, hay xung đột gradient trong học đa tác vụ</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Thứ hai, kiến trúc mới phải đi kèm bảo chứng lý thuyết chặt chẽ (theoretical guarantees); các bài báo TPAMI hiện đại không dừng lại ở bảng số liệu thực nghiệm mà luôn xây dựng các định lý toán học chứng minh cận tổng quát hóa (generalization bound), tính liên tục Lipschitz của hàm mục tiêu, sự hội tụ trong trò chơi Stackelberg hai cấp (bi-level optimization), phân tích dòng chảy gradient (gradient flow), hoặc giải thích cơ chế qua lăng kính Vận chuyển Tối ưu (Optimal Transport - OT), Nút thắt Thông tin (Information Bottleneck - IB) và Neural Tangent Kernel (NTK)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Thứ ba, nghiên cứu phải thiết lập được một ma trận thực nghiệm đa miền toàn diện (comprehensive empirical matrix), trải rộng trên 5 đến 10 bộ dữ liệu chuẩn, đánh giá khả năng tổng quát hóa zero-shot sang các miền dữ liệu hoặc mức độ suy thoái chưa từng thấy (unseen domains/degradation levels) và phân tích sâu độ nhạy của từng siêu tham số</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Nghịch Lý Hạ Tầng Kaggle T4x2 Và Chiến Lược Đồng Thiết Kế Thuật Toán - Phần Cứng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sở hữu số lượng lớn tài khoản Kaggle cung cấp cấu hình dual-GPU Tesla T4 (T4x2) tạo ra một bài toán tối ưu hóa tài nguyên rất đặc thù</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Mỗi GPU Tesla T4 trên Kaggle cung cấp 15.0 GB bộ nhớ VRAM, mang lại tổng cộng 30.0 GB VRAM khi chạy song song hai GPU qua giao thức DistributedDataParallel (DDP) kết hợp huấn luyện độ chính xác hỗn hợp PyTorch AMP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Tuy nhiên, mỗi phiên làm việc (session) của Kaggle chịu sự giới hạn nghiêm ngặt về dung lượng ổ cứng cục bộ (/kaggle/working và /kaggle/input) cũng như thời gian chạy liên tục tối đa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Thực nghiệm thực tế chỉ ra rằng việc huấn luyện từ đầu (train from scratch) một mạng nhẹ như ResNet-50 (23.5 triệu tham số) chỉ trên tập con ImageNet-100 (100 lớp, 1,300 ảnh/lớp) trong 40 epochs đã tiêu tốn từ 4 đến 6 giờ trên GPU T4</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dữ liệu phần cứng này, phân tích chiến lược rút ra một kết luận mang tính sống còn: hạ tầng nhiều tài khoản Kaggle T4x2 cung cấp khả năng mở rộng theo chiều ngang (Horizontal Concurrency) cực lớn, nhưng hoàn toàn không có khả năng ghép nối theo chiều dọc (Vertical Inter-Node Scaling). Các tài khoản độc lập không thể liên kết qua mạng tốc độ cao để gộp VRAM cho một tiến trình huấn luyện duy nhất. Do đó, nếu lựa chọn hướng thiết kế một mạng xương sống (backbone) tổng quát (như một biến thể Vision Transformer hoặc Vision Mamba cỡ lớn) và cố gắng huấn luyện từ đầu (pre-training from scratch) trên toàn bộ tập ImageNet-1K hoặc ImageNet-21K, dự án chắc chắn sẽ thất bại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Quá trình này sẽ vấp phải nút thắt I/O ổ cứng, tràn dung lượng lưu trữ của Kaggle, thời gian hội tụ kéo dài hàng tháng trời qua hàng trăm lần khởi động lại checkpoint, và không thể cạnh tranh lại các phòng thí nghiệm sở hữu cụm 8–64 GPU H100</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việc nắm trong tay hàng chục tài khoản T4x2 độc lập lại trở thành một lợi thế chiến lược tuyệt đối nếu bài toán được chuyển dịch sang các kiến trúc có thời gian huấn luyện mỗi lượt (single-run) ngắn (từ 3 đến 10 giờ trên 2xT4 với 30GB VRAM) nhưng đòi hỏi hàng chục phép thử nghiệm độc lập chạy song song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Cụ thể, để thuyết phục phản biện TPAMI, một bài báo cần thực hiện đồng thời 15–20 bảng tháo gỡ thành phần (ablation studies), kiểm thử trên 5–10 tác vụ hạ nguồn (downstream tasks) hoặc 5–10 mức độ suy thoái ảnh khác nhau</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Trong khi một nhóm nghiên cứu chỉ có một máy chủ đơn lẻ phải mất hàng tháng chạy tuần tự các thí nghiệm này, việc phân bổ 20 kịch bản huấn luyện lên 20 tài khoản Kaggle T4x2 cho phép hoàn tất toàn bộ ma trận thực nghiệm chuẩn TPAMI chỉ trong vài ngày.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Hợp Và Phân Tích Chuyên Sâu Các Hướng Kiến Trúc Thị Giác Máy Tính Khả Thi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sự sàng lọc toàn bộ các công bố TPAMI và các hội nghị đỉnh cao giai đoạn 2024–2026, bốn hướng thiết kế kiến trúc cốt lõi đang định hình lĩnh vực Thị giác Máy tính đã lộ diện. Việc mổ xẻ cơ chế toán học, điểm mạnh, điểm yếu và các lỗ hổng nghiên cứu (research gaps) của từng hướng dưới lăng kính khả thi của hạ tầng T4x2 là tiền đề để chọn ra mũi nhọn đột phá.</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1: Kiến Trúc Không Gian Trạng Thái Thị Giác (Vision Mamba) Và Lai Ghép Miền Tần Số</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Mô hình Không gian Trạng thái có Cấu trúc (Structured State Space Models - SSM), tiêu biểu là Mamba, đã nổi lên như một đối trọng trực tiếp của Vision Transformer nhằm giải quyết độ phức tạp tính toán bậc hai theo chiều dài chuỗi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Về mặt toán học, lõi của kiến trúc Vision Mamba là hệ phương trình vi phân tuyến tính thời gian liên tục ánh xạ tín hiệu đầu vào một chiều </w:t>
      </w:r>
      <w:r w:rsidDel="00000000" w:rsidR="00000000" w:rsidRPr="00000000">
        <w:rPr>
          <w:rFonts w:ascii="Google Sans" w:cs="Google Sans" w:eastAsia="Google Sans" w:hAnsi="Google Sans"/>
          <w:color w:val="1f1f1f"/>
        </w:rPr>
        <w:drawing>
          <wp:inline distB="19050" distT="19050" distL="19050" distR="19050">
            <wp:extent cx="819894" cy="200207"/>
            <wp:effectExtent b="0" l="0" r="0" t="0"/>
            <wp:docPr id="3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819894" cy="2002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sang đầu ra </w:t>
      </w:r>
      <w:r w:rsidDel="00000000" w:rsidR="00000000" w:rsidRPr="00000000">
        <w:rPr>
          <w:rFonts w:ascii="Google Sans" w:cs="Google Sans" w:eastAsia="Google Sans" w:hAnsi="Google Sans"/>
          <w:color w:val="1f1f1f"/>
        </w:rPr>
        <w:drawing>
          <wp:inline distB="19050" distT="19050" distL="19050" distR="19050">
            <wp:extent cx="810816" cy="200319"/>
            <wp:effectExtent b="0" l="0" r="0" t="0"/>
            <wp:docPr id="3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810816" cy="200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trạng thái ẩn </w:t>
      </w:r>
      <w:r w:rsidDel="00000000" w:rsidR="00000000" w:rsidRPr="00000000">
        <w:rPr>
          <w:rFonts w:ascii="Google Sans" w:cs="Google Sans" w:eastAsia="Google Sans" w:hAnsi="Google Sans"/>
          <w:color w:val="1f1f1f"/>
        </w:rPr>
        <w:drawing>
          <wp:inline distB="19050" distT="19050" distL="19050" distR="19050">
            <wp:extent cx="852190" cy="201079"/>
            <wp:effectExtent b="0" l="0" r="0" t="0"/>
            <wp:docPr id="3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852190" cy="20107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6291"/>
            <wp:effectExtent b="0" l="0" r="0" t="0"/>
            <wp:docPr id="3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05500" cy="57629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xử lý chuỗi token rời rạc trên GPU, hệ thống thực hiện rời rạc hóa thông qua cơ chế giữ bậc không (Zero-Order Hold - ZOH) với tham số bước nhảy thời gian </w:t>
      </w:r>
      <w:r w:rsidDel="00000000" w:rsidR="00000000" w:rsidRPr="00000000">
        <w:rPr>
          <w:rFonts w:ascii="Google Sans" w:cs="Google Sans" w:eastAsia="Google Sans" w:hAnsi="Google Sans"/>
          <w:color w:val="1f1f1f"/>
        </w:rPr>
        <w:drawing>
          <wp:inline distB="19050" distT="19050" distL="19050" distR="19050">
            <wp:extent cx="163264" cy="201679"/>
            <wp:effectExtent b="0" l="0" r="0" t="0"/>
            <wp:docPr id="3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63264" cy="2016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phụ thuộc vào đầu vào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3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43"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Nhờ cơ chế chọn lọc (selective scan) nơi các ma trận </w:t>
      </w:r>
      <w:r w:rsidDel="00000000" w:rsidR="00000000" w:rsidRPr="00000000">
        <w:rPr>
          <w:rFonts w:ascii="Google Sans" w:cs="Google Sans" w:eastAsia="Google Sans" w:hAnsi="Google Sans"/>
          <w:color w:val="1f1f1f"/>
        </w:rPr>
        <w:drawing>
          <wp:inline distB="19050" distT="19050" distL="19050" distR="19050">
            <wp:extent cx="650230" cy="200806"/>
            <wp:effectExtent b="0" l="0" r="0" t="0"/>
            <wp:docPr id="41"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50230" cy="20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sinh động (dynamically generated) từ chính token đầu vào, Mamba đạt được khả năng thích ứng theo ngữ cảnh với độ phức tạp tính toán tuyến tính </w:t>
      </w:r>
      <w:r w:rsidDel="00000000" w:rsidR="00000000" w:rsidRPr="00000000">
        <w:rPr>
          <w:rFonts w:ascii="Google Sans" w:cs="Google Sans" w:eastAsia="Google Sans" w:hAnsi="Google Sans"/>
          <w:color w:val="1f1f1f"/>
        </w:rPr>
        <w:drawing>
          <wp:inline distB="19050" distT="19050" distL="19050" distR="19050">
            <wp:extent cx="441127" cy="201384"/>
            <wp:effectExtent b="0" l="0" r="0" t="0"/>
            <wp:docPr id="4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41127" cy="20138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Các biến thể tiên tiến trong giai đoạn 2024–2026 đã mở rộng cơ chế này sang thị giác thông qua quét hai chiều (Vision Mamba / Vim)</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quét chọn lọc 2D bốn hướng (VMamba / SS2D)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quét theo đường cong lấp đầy không gian Hilbert (FractalMamba++, SpectMamba)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quét giải bài toán người bán hàng (TSP-Mamba)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và quét thích ứng động hướng dữ liệu (DAMamba với mô-đun DAS)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mạnh cốt lõi của nhánh kiến trúc này nằm ở độ phức tạp tuyến tính </w:t>
      </w:r>
      <w:r w:rsidDel="00000000" w:rsidR="00000000" w:rsidRPr="00000000">
        <w:rPr>
          <w:rFonts w:ascii="Google Sans" w:cs="Google Sans" w:eastAsia="Google Sans" w:hAnsi="Google Sans"/>
          <w:color w:val="1f1f1f"/>
        </w:rPr>
        <w:drawing>
          <wp:inline distB="19050" distT="19050" distL="19050" distR="19050">
            <wp:extent cx="441127" cy="201384"/>
            <wp:effectExtent b="0" l="0" r="0" t="0"/>
            <wp:docPr id="4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41127" cy="201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giúp xử lý ảnh độ phân giải cao, ảnh viễn thám, ảnh siêu phổ và cắt lớp y tế (như Photoacoustic Tomography trong PAT-Mamba) với mức tiêu thụ bộ nhớ VRAM thấp hơn hẳn so với cơ chế Self-Attention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Khi kết hợp vào mạng phát hiện bất thường y tế như SpectMamba, mô hình vượt qua ResNet 3.05% về chỉ số AP@50 và đạt hiệu suất vượt trội so với ViT-B/L với chi phí tính toán thu gọn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việc áp dụng Mamba vào thị giác vẫn tồn tại ba lỗ hổng kỹ thuật lớn chưa được giải quyết triệt để. Lỗ hổng thứ nhất là sự đứt gãy cấu trúc lân cận không gian 2D (spatial adjacency disruption); bản chất của SSM là xử lý tuần tự 1D nhân quả (causal computing), nên việc ép phẳng (flattening) lưới pixel 2D/3D thành chuỗi 1D theo các đường quét cố định làm hai pixel nằm sát nhau theo chiều dọc hoặc chéo bị đẩy ra xa nhau hàng trăm bước trong chuỗi 1D, làm suy yếu khả năng mô hình hóa cấu trúc hình học cục bộ</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Lỗ hổng thứ hai là hiện tượng quên dài hạn (long-range forgetting), khi chuỗi token dài lên khiến trạng thái ẩn </w:t>
      </w:r>
      <w:r w:rsidDel="00000000" w:rsidR="00000000" w:rsidRPr="00000000">
        <w:rPr>
          <w:rFonts w:ascii="Google Sans" w:cs="Google Sans" w:eastAsia="Google Sans" w:hAnsi="Google Sans"/>
          <w:color w:val="1f1f1f"/>
        </w:rPr>
        <w:drawing>
          <wp:inline distB="19050" distT="19050" distL="19050" distR="19050">
            <wp:extent cx="172194" cy="200893"/>
            <wp:effectExtent b="0" l="0" r="0" t="0"/>
            <wp:docPr id="4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72194" cy="200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bị suy giảm thông tin của các vùng không gian đầu chuỗi theo hàm mũ của ma trận chuyển trạng thái </w:t>
      </w:r>
      <w:r w:rsidDel="00000000" w:rsidR="00000000" w:rsidRPr="00000000">
        <w:rPr>
          <w:rFonts w:ascii="Google Sans" w:cs="Google Sans" w:eastAsia="Google Sans" w:hAnsi="Google Sans"/>
          <w:color w:val="1f1f1f"/>
        </w:rPr>
        <w:drawing>
          <wp:inline distB="19050" distT="19050" distL="19050" distR="19050">
            <wp:extent cx="147042" cy="205859"/>
            <wp:effectExtent b="0" l="0" r="0" t="0"/>
            <wp:docPr id="49"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47042" cy="20585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Lỗ hổng thứ ba là thiên kiến phổ tần số thấp (spectral bias &amp; high-frequency attenuation), do các phép đệ quy trạng thái tuyến tính của SSM hoạt động tương tự một bộ lọc thông thấp, dẫn đến việc làm mờ các chi tiết biên sắc nét và kết cấu tần số cao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Dù một số nghiên cứu năm 2025–2026 như SpectMamba (dùng biến đổi Cosine rời rạc DCT), M3-Mamba (dùng biến đổi Fourier nhanh 2D FFT) hay Wave-Mamba (dùng Wavelet) đã bước đầu tích hợp nhánh tần số</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việc thiết kế một cơ chế điều phối trạng thái Mamba trực tiếp bằng phổ pha và biên độ tần số có bảo chứng lý thuyết vẫn là một khoảng trống lớn. Xét về tính khả thi trên Kaggle T4x2, nếu huấn luyện backbone phân loại ImageNet-1K từ đầu (như DAMamba hay VMamba-Base), chi phí tính toán sẽ vượt quá giới hạn phiên của Kaggle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Ngược lại, nếu phát triển kiến trúc Mamba-Adaptor (như thiết kế Adaptor-T chọn lọc vị trí bộ nhớ kết hợp Adaptor-S tích chập giãn nở đa tỷ lệ tại CVPR 2025)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hoặc kiến trúc Mamba chuyên biệt cho khôi phục ảnh và phân đoạn y tế (như PAT-Mamba, HSFM, MineSSM)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mô hình hoàn toàn chạy mượt mà trên T4x2.</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2: Khôi Phục Ảnh Toàn Diện (All-in-One Image Restoration - AiOIR) Dựa Trên Vận Chuyển Tối Ưu Và Toán Tử Vật Lý</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Khôi phục ảnh toàn diện (AiOIR) là một trong những chủ đề thu hút sự quan tâm lớn nhất của ban biên tập IEEE TPAMI trong năm 2025 và 2026, được khẳng định qua bài khảo sát tổng quan định hình lĩnh vực đăng trên TPAMI tháng 12/2025</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Bài toán đặt ra là sử dụng một mạng thần kinh duy nhất với bộ trọng số cố định để khôi phục ảnh sạch </w:t>
      </w:r>
      <w:r w:rsidDel="00000000" w:rsidR="00000000" w:rsidRPr="00000000">
        <w:rPr>
          <w:rFonts w:ascii="Google Sans" w:cs="Google Sans" w:eastAsia="Google Sans" w:hAnsi="Google Sans"/>
          <w:color w:val="1f1f1f"/>
        </w:rPr>
        <w:drawing>
          <wp:inline distB="19050" distT="19050" distL="19050" distR="19050">
            <wp:extent cx="127545" cy="206035"/>
            <wp:effectExtent b="0" l="0" r="0" t="0"/>
            <wp:docPr id="51"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27545" cy="2060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từ ảnh suy thoái </w:t>
      </w:r>
      <w:r w:rsidDel="00000000" w:rsidR="00000000" w:rsidRPr="00000000">
        <w:rPr>
          <w:rFonts w:ascii="Google Sans" w:cs="Google Sans" w:eastAsia="Google Sans" w:hAnsi="Google Sans"/>
          <w:color w:val="1f1f1f"/>
        </w:rPr>
        <w:drawing>
          <wp:inline distB="19050" distT="19050" distL="19050" distR="19050">
            <wp:extent cx="1210570" cy="200173"/>
            <wp:effectExtent b="0" l="0" r="0" t="0"/>
            <wp:docPr id="5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1210570" cy="200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dưới nhiều loại suy thoái vật lý hoàn toàn khác nhau (mưa, sương mù, nhiễu Gaussian, mờ chuyển động, thiếu sáng) mà không cần biết trước nhãn loại suy thoái ở pha suy luận (blind all-in-one setting)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kiến trúc đỉnh cao vừa được công bố trên TPAMI và ICML/ICLR 2025–2026 đã chuyển dịch từ việc học các vector gợi ý (visual prompts) đơn thuần sang mô hình hóa toán học sâu sắc theo ba nhánh tiếp cận. Nhánh thứ nhất ứng dụng Lý thuyết Vận chuyển Tối ưu (Optimal Transport - OT), tiêu biểu là công trình DA-RCOT (TPAMI tháng 8/2025) mô hình hóa bài toán AiOIR như việc tìm ánh xạ vận chuyển tối ưu </w:t>
      </w:r>
      <w:r w:rsidDel="00000000" w:rsidR="00000000" w:rsidRPr="00000000">
        <w:rPr>
          <w:rFonts w:ascii="Google Sans" w:cs="Google Sans" w:eastAsia="Google Sans" w:hAnsi="Google Sans"/>
          <w:color w:val="1f1f1f"/>
        </w:rPr>
        <w:drawing>
          <wp:inline distB="19050" distT="19050" distL="19050" distR="19050">
            <wp:extent cx="219819" cy="200704"/>
            <wp:effectExtent b="0" l="0" r="0" t="0"/>
            <wp:docPr id="53"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19819" cy="200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biến đổi phân phối ảnh suy thoái đa miền </w:t>
      </w:r>
      <w:r w:rsidDel="00000000" w:rsidR="00000000" w:rsidRPr="00000000">
        <w:rPr>
          <w:rFonts w:ascii="Google Sans" w:cs="Google Sans" w:eastAsia="Google Sans" w:hAnsi="Google Sans"/>
          <w:color w:val="1f1f1f"/>
        </w:rPr>
        <w:drawing>
          <wp:inline distB="19050" distT="19050" distL="19050" distR="19050">
            <wp:extent cx="119806" cy="193533"/>
            <wp:effectExtent b="0" l="0" r="0" t="0"/>
            <wp:docPr id="54"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119806" cy="193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sang phân phối ảnh sạch </w:t>
      </w:r>
      <w:r w:rsidDel="00000000" w:rsidR="00000000" w:rsidRPr="00000000">
        <w:rPr>
          <w:rFonts w:ascii="Google Sans" w:cs="Google Sans" w:eastAsia="Google Sans" w:hAnsi="Google Sans"/>
          <w:color w:val="1f1f1f"/>
        </w:rPr>
        <w:drawing>
          <wp:inline distB="19050" distT="19050" distL="19050" distR="19050">
            <wp:extent cx="152549" cy="200220"/>
            <wp:effectExtent b="0" l="0" r="0" t="0"/>
            <wp:docPr id="55"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152549" cy="20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chi phí tối thiểu</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Điểm đột phá của DA-RCOT là đưa phần dư vận chuyển (transport residual </w:t>
      </w:r>
      <w:r w:rsidDel="00000000" w:rsidR="00000000" w:rsidRPr="00000000">
        <w:rPr>
          <w:rFonts w:ascii="Google Sans" w:cs="Google Sans" w:eastAsia="Google Sans" w:hAnsi="Google Sans"/>
          <w:color w:val="1f1f1f"/>
        </w:rPr>
        <w:drawing>
          <wp:inline distB="19050" distT="19050" distL="19050" distR="19050">
            <wp:extent cx="200472" cy="171833"/>
            <wp:effectExtent b="0" l="0" r="0" t="0"/>
            <wp:docPr id="56"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200472" cy="171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vào cả hàm chi phí trong miền tần số Fourier (tạo thành hàm mục tiêu FROT) lẫn mạng sinh thông qua cơ chế điều kiện hóa hai lượt (two-pass conditioning)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Tiếp nối hướng này, TPAMI năm 2026 tiếp tục ghi nhận kiến trúc học Không gian Trọng tâm Wasserstein Liên tục (Continuous Wasserstein Barycenter Space) để tổng quát hóa khôi phục ảnh sang các mức độ suy thoái chưa từng thấy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Nhánh thứ hai tập trung vào Học Toán tử Ngược Vật lý và Bản đồ Bất định (Operator Learning &amp; Uncertainty Estimation), nổi bật với kiến trúc OPIR (ICML 2026) tiếp cận bài toán dưới góc độ học một họ các toán tử suy thoái ngược </w:t>
      </w:r>
      <w:r w:rsidDel="00000000" w:rsidR="00000000" w:rsidRPr="00000000">
        <w:rPr>
          <w:rFonts w:ascii="Google Sans" w:cs="Google Sans" w:eastAsia="Google Sans" w:hAnsi="Google Sans"/>
          <w:color w:val="1f1f1f"/>
        </w:rPr>
        <w:drawing>
          <wp:inline distB="19050" distT="19050" distL="19050" distR="19050">
            <wp:extent cx="687288" cy="171822"/>
            <wp:effectExtent b="0" l="0" r="0" t="0"/>
            <wp:docPr id="5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87288" cy="171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Mô-đun Nhận thức Tác vụ (TAM) điều biến nhân tích chập cơ sở </w:t>
      </w:r>
      <w:r w:rsidDel="00000000" w:rsidR="00000000" w:rsidRPr="00000000">
        <w:rPr>
          <w:rFonts w:ascii="Google Sans" w:cs="Google Sans" w:eastAsia="Google Sans" w:hAnsi="Google Sans"/>
          <w:color w:val="1f1f1f"/>
        </w:rPr>
        <w:drawing>
          <wp:inline distB="19050" distT="19050" distL="19050" distR="19050">
            <wp:extent cx="180380" cy="199367"/>
            <wp:effectExtent b="0" l="0" r="0" t="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80380" cy="199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một mạng MLP siêu nhẹ </w:t>
      </w:r>
      <w:r w:rsidDel="00000000" w:rsidR="00000000" w:rsidRPr="00000000">
        <w:rPr>
          <w:rFonts w:ascii="Google Sans" w:cs="Google Sans" w:eastAsia="Google Sans" w:hAnsi="Google Sans"/>
          <w:color w:val="1f1f1f"/>
        </w:rPr>
        <w:drawing>
          <wp:inline distB="19050" distT="19050" distL="19050" distR="19050">
            <wp:extent cx="2322757" cy="199909"/>
            <wp:effectExtent b="0" l="0" r="0" t="0"/>
            <wp:docPr id="22"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2322757" cy="19990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Đặc biệt, OPIR trích xuất trực tiếp độ bất định tái tạo trên từng pixel (per-pixel reconstruction uncertainty) từ trung bình trị tuyệt đối của trọng số nhân lân cận </w:t>
      </w:r>
      <w:r w:rsidDel="00000000" w:rsidR="00000000" w:rsidRPr="00000000">
        <w:rPr>
          <w:rFonts w:ascii="Google Sans" w:cs="Google Sans" w:eastAsia="Google Sans" w:hAnsi="Google Sans"/>
          <w:color w:val="1f1f1f"/>
        </w:rPr>
        <w:drawing>
          <wp:inline distB="19050" distT="19050" distL="19050" distR="19050">
            <wp:extent cx="440978" cy="201316"/>
            <wp:effectExtent b="0" l="0" r="0" t="0"/>
            <wp:docPr id="2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40978" cy="201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dẫn dắt bước tinh chỉnh giai đoạn hai</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Nhánh thứ ba khai thác Tối ưu hóa Dư thừa Hạng thấp và Học Tương phản: công trình CPLIR (TPAMI 2026) giải quyết sự dư thừa biểu diễn suy thoái bằng học gợi ý tương phản (Contrastive Prompt Learning)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tiền huấn luyện phân loại suy thoái DCPT (ICLR 2025) thúc đẩy khả năng phân tách biểu diễn tiềm ẩn trên bài toán 10 tác vụ suy thoái (10D AiOIR)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trong khi MIRAGE (ICLR 2026) phát hiện ra rằng các đặc trưng chú ý (attention features) luôn tồn tại sự dư thừa kênh hạng thấp (low-rank channel redundancy) xuyên suốt các tỷ lệ</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Từ quan sát đó, MIRAGE thiết kế kiến trúc lai ghép song song giúp cắt giảm 88% số lượng tham số—từ mức 50 triệu tham số của DA-RCOT xuống chỉ còn 6 triệu tham số ở bản MIRAGE-T và 10 triệu tham số ở bản MIRAGE-S (nhỏ hơn cả mức 11 triệu tham số của MoCE-IR nhưng vượt 0.28 dB PSNR)—mà vẫn nâng cao độ chính xác khôi phục</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hình / Phương pháp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Năm &amp; Nơi Công bố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hình Đánh giá / Số Tham số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Chỉ số Hiệu năng Trung bình (PSNR dB / SSIM)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trưng Kiến trúc Cốt lõi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TransWeather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10D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22.83 / 0.779</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Transformer đa thời tiết đời đầu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WeatherDiff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10D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24.60 / 0.793</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khuếch tán (Diffusion) khôi phục thời tiết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AirNet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10D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26.41 / 0.842</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Bộ mã hóa suy thoái tương phản (Contrastive Encoder)</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NAFNet (Gốc)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10D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27.17 / 0.837</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Mạng phi tuyến không kích hoạt (Nonlinear Activation Free)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NAFNet + DACLIP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ICLR 2025 Bench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27.42 / 0.798</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mô hình ngôn ngữ - thị giác nhận thức suy thoái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10D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27.93 / 0.851</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Học gợi ý thị giác ẩn (Implicit Visual Prompting)</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NAFNet + Instruct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ICLR 2025 Bench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28.30 / 0.862</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Điều khiển khôi phục qua chỉ dẫn đa phương thức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DiffUIR-L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10D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28.75 / 0.869</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khuếch tán thống nhất cỡ lớn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DCPT-NAFNet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ICLR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Suy thoái (10D AiOIR)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29.72 / 0.888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Tiền huấn luyện phân loại suy thoái (tăng +2.55 dB so với NAFNet)</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DA-RCOT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TPAMI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50M tham số (Multi-Task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31.26 / 0.977 (Tác vụ 1); 38.36 / 0.983 (Tác vụ 2); 32.60 / 0.917 (TB)</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Vận chuyển tối ưu điều kiện hóa phần dư trên nền Restormer</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MIRAGE-T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ICLR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6M tham số</w:t>
            </w:r>
            <w:r w:rsidDel="00000000" w:rsidR="00000000" w:rsidRPr="00000000">
              <w:rPr>
                <w:rFonts w:ascii="Google Sans" w:cs="Google Sans" w:eastAsia="Google Sans" w:hAnsi="Google Sans"/>
                <w:color w:val="1f1f1f"/>
                <w:rtl w:val="0"/>
              </w:rPr>
              <w:t xml:space="preserve"> (Giảm 88% so với DA-RCOT)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31.81 / 0.982</w:t>
            </w:r>
            <w:r w:rsidDel="00000000" w:rsidR="00000000" w:rsidRPr="00000000">
              <w:rPr>
                <w:rFonts w:ascii="Google Sans" w:cs="Google Sans" w:eastAsia="Google Sans" w:hAnsi="Google Sans"/>
                <w:color w:val="1f1f1f"/>
                <w:rtl w:val="0"/>
              </w:rPr>
              <w:t xml:space="preserve"> (Tác vụ 1); </w:t>
            </w:r>
            <w:r w:rsidDel="00000000" w:rsidR="00000000" w:rsidRPr="00000000">
              <w:rPr>
                <w:rFonts w:ascii="Google Sans" w:cs="Google Sans" w:eastAsia="Google Sans" w:hAnsi="Google Sans"/>
                <w:b w:val="1"/>
                <w:bCs w:val="1"/>
                <w:color w:val="1f1f1f"/>
                <w:rtl w:val="0"/>
              </w:rPr>
              <w:t xml:space="preserve">38.44</w:t>
            </w:r>
            <w:r w:rsidDel="00000000" w:rsidR="00000000" w:rsidRPr="00000000">
              <w:rPr>
                <w:rFonts w:ascii="Google Sans" w:cs="Google Sans" w:eastAsia="Google Sans" w:hAnsi="Google Sans"/>
                <w:color w:val="1f1f1f"/>
                <w:rtl w:val="0"/>
              </w:rPr>
              <w:t xml:space="preserve"> (Tác vụ 2)</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Khai thác dư thừa kênh hạng thấp, thiết kế lai song song</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mạnh nổi bật của hướng AiOIR là giải quyết bài toán thực tiễn vô cùng cấp bách cho các thiết bị biên (edge devices), drone (UAV), xe tự hành và hệ thống camera giám sát—nơi bộ nhớ phần cứng không cho phép nạp cùng lúc 5 đến 10 mô hình khôi phục ảnh riêng biệt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Tuy vậy, các kiến trúc AiOIR đương đại vẫn bộc lộ hai lỗ hổng nghiên cứu rất rõ nét. Thứ nhất là giả định suy thoái đồng nhất theo không gian (spatially uniform processing assumption); hầu hết các mạng AiOIR hiện tại áp dụng cùng một chiến lược điều biến đặc trưng lên toàn bộ bức ảnh, dẫn đến thất bại khi đối mặt với ảnh thực tế có mức độ suy thoái biến thiên theo vùng không gian, chẳng hạn như sương mù dày đặc ở vùng xa kết hợp nhiễu hạt nặng ở vùng bóng tối tiền cảnh, hoặc lóa sáng cục bộ ban đêm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Thứ hai là hiện tượng xung đột gradient giữa các tác vụ (multi-task gradient conflict), xảy ra khi huấn luyện chung các tác vụ đối nghịch nhau (như khử nhiễu đòi hỏi làm mượt tần số cao trong khi siêu phân giải và khử mờ lại đòi hỏi khuếch đại tần số cao), khiến các gradient triệt tiêu lẫn nhau ở các tầng chia sẻ</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Xét về tính khả thi trên Kaggle T4x2, hướng đi này đạt mức độ tương thích gần như tuyệt đối. Bằng chứng trực tiếp từ mã nguồn mở của bài báo DA-RCOT (TPAMI 2025) cho thấy toàn bộ quá trình huấn luyện được thực hiện với kích thước lô siêu nhỏ (--batchSize=2), kích thước mảnh cắt ảnh --patch_size=128 trong 50 đến 55 epochs trên các bộ dữ liệu chuẩn có dung lượng rất nhẹ (BSD400, BSD68, Kodak24, Rain100L, RESIDE-SOTS, GoPro, LOLv1)</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Một cấu hình Kaggle T4x2 (30GB VRAM) hoàn toàn có thể huấn luyện các mô hình AiOIR cỡ 6M–15M tham số mà không gặp bất kỳ rào cản bộ nhớ hay ổ cứng nào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3: Tinh Chỉnh Hiệu Quả Tham Số (PEFT), Gợi Ý Thị Giác Tường Minh (EVP) Và Chuyên Gia Hỗn Hợp (MoE)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huấn luyện lại từ đầu các mạng xương sống khổng lồ, hướng nghiên cứu PEFT đóng băng (freeze) toàn bộ trọng số của các Mô hình Nền tảng Thị giác (Vision Foundation Models - VFM như SAM, DINOv2, SegFormer, CLIP) và chỉ thiết kế các cấu trúc điều hợp (Adapters) hoặc gợi ý thị giác (Visual Prompts) siêu nhẹ chứa từ 0.36% đến 5.7% số tham số có thể huấn luyện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công trình tiêu biểu vừa được vinh danh trên TPAMI giai đoạn 2025–2026 đã định hình bốn nhánh kỹ thuật mũi nhọn trong PEFT. Đầu tiên là Gợi ý Thị giác Tường minh (Explicit Visual Prompting - EVP, CVPR 2023 &amp; TPAMI 2025): thay vì học các token gợi ý ẩn một cách mù quáng như VPT truyền thống, EVP đóng băng mạng SegFormer và trích xuất trực tiếp các thành phần tần số cao (High-Frequency Components - HFC) của ảnh đầu vào kết hợp với đặc trưng nhúng (Embedding Tune) thông qua một bộ Adaptor gọn nhẹ (chỉ tốn 5.7% tham số phụ thêm cho mỗi tác vụ) để giải quyết bài toán Phân đoạn Tiền cảnh Phổ quát (Universal Foreground Segmentation)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Tiếp theo là kỹ thuật Phân rã Bộ ba và Tối ưu hóa Tensor (Triplet Decomposition / LoTA trên TPAMI tháng 8/2026 và MetaTT trên TPAMI tháng 2/2026), thay thế ma trận hạng thấp hai thành phần của LoRA bằng cấu trúc phân rã bộ ba hoặc chuỗi Tensor toàn cục (Global Tensor-Train Adapter) để tối đa hóa khả năng biểu diễn không gian con với số tham số tối thiểu</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Song hành cùng hướng này là Cơ chế Chuyên gia Hỗn hợp Không-Thời gian (Spatio-Temporal MoE PEFT) và Chia sẻ Đa tác vụ, nơi kiến trúc SPMTrack (CVPR 2025) đóng băng ViT-B/L/G (trọng số DINOv2) và thay thế các lớp tuyến tính trong FFN bằng khối TMoE để theo dõi đối tượng</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còn VMT-Adapter chia sẻ phép chiếu lên/xuống kết hợp mô-đun trích xuất tri thức để giải quyết đồng thời nhiều bài toán hiểu cảnh dày đặc (dense scene understanding) chỉ với 0.36%–1% tham số huấn luyện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Đáng chú ý nhất, các công bố TPAMI tháng 8/2026 đã xây dựng nền tảng lý thuyết toán học vững chắc cho Visual Prompting khi chứng minh rằng bộ phân loại sử dụng Visual Prompting tương đương với một bộ phân loại làm mượt ngẫu nhiên (randomized smoothing classifier) </w:t>
      </w:r>
      <w:r w:rsidDel="00000000" w:rsidR="00000000" w:rsidRPr="00000000">
        <w:rPr>
          <w:rFonts w:ascii="Google Sans" w:cs="Google Sans" w:eastAsia="Google Sans" w:hAnsi="Google Sans"/>
          <w:color w:val="1f1f1f"/>
        </w:rPr>
        <w:drawing>
          <wp:inline distB="19050" distT="19050" distL="19050" distR="19050">
            <wp:extent cx="568970" cy="199140"/>
            <wp:effectExtent b="0" l="0" r="0" t="0"/>
            <wp:docPr id="24"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68970" cy="199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tham số vị trí Gaussian </w:t>
      </w:r>
      <w:r w:rsidDel="00000000" w:rsidR="00000000" w:rsidRPr="00000000">
        <w:rPr>
          <w:rFonts w:ascii="Google Sans" w:cs="Google Sans" w:eastAsia="Google Sans" w:hAnsi="Google Sans"/>
          <w:color w:val="1f1f1f"/>
        </w:rPr>
        <w:drawing>
          <wp:inline distB="19050" distT="19050" distL="19050" distR="19050">
            <wp:extent cx="118169" cy="206796"/>
            <wp:effectExtent b="0" l="0" r="0" t="0"/>
            <wp:docPr id="2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18169" cy="206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dịch chuyển theo hướng cực tiểu hóa hàm mất mát hạ nguồn</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đồng thời sử dụng Vận chuyển Tối ưu (Prompt-OT, OT-VP, MerA) và Nút thắt Thông tin (Information Bottleneck) để căn chỉnh phân phối trọng số và bảo toàn tri thức gốc của mô hình tiền huấn luyện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Ưu thế lớn nhất của PEFT là tiết kiệm chi phí huấn luyện cực đại (thời gian chạy thử nghiệm đầu tiên chỉ tính bằng vài giờ trên GPU phổ thông)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tận dụng trực tiếp sức mạnh biểu diễn ngữ nghĩa của DINOv2, SAM hoặc SegFormer mà không sợ hiện tượng quên thảm khốc (catastrophic forgetting)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Mặt trái của phương pháp này nằm ở ba hạn chế kỹ thuật: việc chèn các nhánh Adapter nối tiếp (sequential adapters) có hàm kích hoạt phi tuyến </w:t>
      </w:r>
      <w:r w:rsidDel="00000000" w:rsidR="00000000" w:rsidRPr="00000000">
        <w:rPr>
          <w:rFonts w:ascii="Google Sans" w:cs="Google Sans" w:eastAsia="Google Sans" w:hAnsi="Google Sans"/>
          <w:color w:val="1f1f1f"/>
        </w:rPr>
        <w:drawing>
          <wp:inline distB="19050" distT="19050" distL="19050" distR="19050">
            <wp:extent cx="2110083" cy="199602"/>
            <wp:effectExtent b="0" l="0" r="0" t="0"/>
            <wp:docPr id="2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2110083" cy="199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thể gộp (merge) vào trọng số gốc như LoRA nên làm tăng độ trễ suy luận thực tế (inference overhead)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việc lan truyền ngược (backpropagation) xuyên qua các tầng sâu của mạng xương sống vẫn đòi hỏi lưu trữ toàn bộ đồ thị kích hoạt trung gian trong VRAM gây ra nút thắt bộ nhớ kích hoạt (activation memory bottleneck) dù số tham số cập nhật dưới 0.5%</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và sự suy giảm hiệu năng khi dịch chuyển miền cực đoan (extreme domain shift), khi các mô hình tiền huấn luyện trên ảnh tự nhiên thất bại trên các tác vụ phụ thuộc vào cấu trúc vật lý cấp thấp (như phát hiện vật thể ngụy trang, phát hiện giả mạo ảnh, phát hiện bóng đổ, hoặc ảnh y tế 3D thiếu nhãn) nếu thiếu cơ chế bơm thông tin tần số hoặc hình học không gian chuyên biệt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Trên hạ tầng Kaggle T4x2, hướng PEFT đạt tính khả thi tuyệt đối: mỗi tác vụ trong khung EVP (như huấn luyện trên COD10K, CAMO, DUT, CUHK, CASIA, ISTD) chỉ mất vài giờ trên một GPU T4</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cho phép 10 tài khoản Kaggle T4x2 hoàn tất toàn bộ 8–10 bộ dữ liệu chuẩn trên 4 tác vụ khác nhau chỉ trong một buổi chiều.</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4: Kiến Trúc Vision Transformer Lai Động (Dynamic Hybrid ViT), Gộp Token Học Được Và Phân Đoạn Y Tế 3D Siêu Nhẹ</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nhánh nghiên cứu can thiệp trực tiếp vào cấu trúc nội tại của Vision Transformer, các công bố trên TPAMI giai đoạn 2025–2026 tập trung vào ba mũi nhọn cải tiến. Mũi nhọn thứ nhất là tăng cường thiên kiến quy nạp cục bộ cho dữ liệu nhỏ thông qua kiến trúc DHVT / DHVT2 (TPAMI tháng 4/2025), giải quyết tính "đói dữ liệu" (data-hungry) của ViT khi huấn luyện từ đầu nhờ cơ chế Head-UP Attention (HI-MHSA) sử dụng các head tokens động </w:t>
      </w:r>
      <w:r w:rsidDel="00000000" w:rsidR="00000000" w:rsidRPr="00000000">
        <w:rPr>
          <w:rFonts w:ascii="Google Sans" w:cs="Google Sans" w:eastAsia="Google Sans" w:hAnsi="Google Sans"/>
          <w:color w:val="1f1f1f"/>
        </w:rPr>
        <w:drawing>
          <wp:inline distB="19050" distT="19050" distL="19050" distR="19050">
            <wp:extent cx="1663008" cy="199561"/>
            <wp:effectExtent b="0" l="0" r="0" t="0"/>
            <wp:docPr id="27"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1663008" cy="199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tác với patch tokens cùng thiết kế SOPE2 và căn chỉnh kênh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Mũi nhọn thứ hai là nén và gộp token học được (Learnable Token Merging) với đại diện là LTM-Transformer (TPAMI tháng 11/2025), tích hợp mô-đun mặt nạ (mask module) học được vào từng khối Transformer để gộp các token dư thừa, duy trì hoặc vượt độ chính xác của ViT gốc với chi phí tính toán thu gọn đáng kể</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bên cạnh hướng tăng tốc ViT cỡ lớn cho dự đoán dày đặc mà không cần tinh chỉnh (TPAMI 2024)</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hoặc tự chưng cất chính nó (CLIPSelf - TPAMI 2026)</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Mũi nhọn thứ ba là thiết kế Transformer siêu nhẹ bán giám sát cho y tế 3D, tiêu biểu là Light-UNETR (TPAMI 2025) tích hợp cơ chế Tăng cường Hiệp đồng Ngữ cảnh (Contextual Synergic Enhancement - CSE) cho bài toán phân đoạn ảnh y tế 3D (tim LA, tuyến tụy Pancreas-CT, u não BraTS 2019) trong điều kiện bán giám sát cực kỳ khan hiếm nhãn (chỉ sử dụng 4, 6, 8 hoặc 25 mẫu có nhãn)</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đi này mang lại tính tổng quát hóa học thuật cao, đặc biệt mảng phân đoạn y tế 3D bán giám sát (như Light-UNETR) giải quyết trực tiếp cơn khát nhãn dữ liệu lâm sàng với kiến trúc rất gọn nhẹ</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Tuy nhiên, rào cản lớn nhất là sự phân cực về yêu cầu phần cứng: các biến thể ViT tổng quát như DHVT bắt buộc phải chứng minh khả năng train-from-scratch trên ImageNet-1K và fine-tune trên các tập dự đoán dày đặc cỡ lớn để được TPAMI chấp nhận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vượt quá khả năng xử lý của một phiên Kaggle T4x2. Trong khi đó, nhánh Light-UNETR hoặc kỹ thuật cô lập gradient nhánh kép (như chiến lược LDT tại ICLR 2026 đóng băng các tầng không ổn định và cập nhật qua trung bình trượt hàm mũ EMA)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lại rất nhẹ nhưng đòi hỏi đóng góp phương pháp luận phải vượt qua ranh giới của một bài báo y sinh chuyên ngành (như IEEE TMI) để chứng minh giá trị nhận dạng mẫu tổng quát cho TPAMI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Đánh giá</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1: Vision Mamba &amp; Lai ghép Tần số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2: All-in-One Image Restoration (OT &amp; Physics)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3: PEFT, Explicit Visual Prompting &amp; MoE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4: Dynamic Hybrid ViT &amp; Lightweight 3D Medical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Toán học Cốt lõi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Phương trình trạng thái rời rạc ZOH </w:t>
            </w:r>
            <w:r w:rsidDel="00000000" w:rsidR="00000000" w:rsidRPr="00000000">
              <w:rPr>
                <w:rFonts w:ascii="Google Sans" w:cs="Google Sans" w:eastAsia="Google Sans" w:hAnsi="Google Sans"/>
                <w:color w:val="1f1f1f"/>
              </w:rPr>
              <w:drawing>
                <wp:inline distB="19050" distT="19050" distL="19050" distR="19050">
                  <wp:extent cx="441127" cy="201384"/>
                  <wp:effectExtent b="0" l="0" r="0" t="0"/>
                  <wp:docPr id="2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41127" cy="201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quét Hilbert/DAS, biến đổi FFT/DCT</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Vận chuyển tối ưu (OT) miền tần số, không gian tâm Wasserstein, toán tử ngược </w:t>
            </w:r>
            <w:r w:rsidDel="00000000" w:rsidR="00000000" w:rsidRPr="00000000">
              <w:rPr>
                <w:rFonts w:ascii="Google Sans" w:cs="Google Sans" w:eastAsia="Google Sans" w:hAnsi="Google Sans"/>
                <w:color w:val="1f1f1f"/>
              </w:rPr>
              <w:drawing>
                <wp:inline distB="19050" distT="19050" distL="19050" distR="19050">
                  <wp:extent cx="687288" cy="171822"/>
                  <wp:effectExtent b="0" l="0" r="0" t="0"/>
                  <wp:docPr id="2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87288" cy="17182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 47,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rã bộ ba (LoTA), Prompt-OT, Nút thắt thông tin (IB), điều biến tần số cao (HFC)</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Head-UP Attention (HI-MHSA), gộp token học được (LTM), hiệp đồng ngữ cảnh (CSE)</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Công bố TPAMI Tham chiếu (2025–2026)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Lĩnh vực mới nổi từ CVPR/NeurIPS 2025 đang chuyển dịch mạnh lên tạp chí</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DA-RCOT (TPAMI'25), CPLIR (TPAMI'26), Wasserstein Barycenter (TPAMI'26), Survey AiOIR (TPAMI'25)</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EVP (TPAMI'25), LoTA (TPAMI'26), MetaTT (TPAMI'26), Prompt-OT (TPAMI'26), PEFT Survey (TPAMI'26)</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DHVT (TPAMI'25), LTM-Transformer (TPAMI'25), Light-UNETR (TPAMI'25), CLIPSelf (TPAMI'26)</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Quy mô Tham số Cần Huấn luyện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15M – 50M (nếu huấn luyện backbone) hoặc 1M – 8M (nếu làm Mamba-Adaptor/IR)</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6M – 15M tham số (theo chuẩn kiến trúc gọn nhẹ mới như MIRAGE-T/S)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0.36% – 5.7% tham số mạng gốc (tương đương 0.5M – 4M tham số)</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20M – 80M (ViT tổng quát) hoặc 2M – 10M (Light-UNETR 3D y tế)</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tương thích Hạ tầng Kaggle T4x2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Trung bình – Cao (7.5/10)</w:t>
            </w:r>
            <w:r w:rsidDel="00000000" w:rsidR="00000000" w:rsidRPr="00000000">
              <w:rPr>
                <w:rFonts w:ascii="Google Sans" w:cs="Google Sans" w:eastAsia="Google Sans" w:hAnsi="Google Sans"/>
                <w:color w:val="1f1f1f"/>
                <w:rtl w:val="0"/>
              </w:rPr>
              <w:t xml:space="preserve"> (Thấp nếu pre-train ImageNet; Rất cao nếu áp dụng cho IR/Adaptor)</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Rất Cao (9.5/10)</w:t>
            </w:r>
            <w:r w:rsidDel="00000000" w:rsidR="00000000" w:rsidRPr="00000000">
              <w:rPr>
                <w:rFonts w:ascii="Google Sans" w:cs="Google Sans" w:eastAsia="Google Sans" w:hAnsi="Google Sans"/>
                <w:color w:val="1f1f1f"/>
                <w:rtl w:val="0"/>
              </w:rPr>
              <w:t xml:space="preserve"> (Huấn luyện patch </w:t>
            </w:r>
            <w:r w:rsidDel="00000000" w:rsidR="00000000" w:rsidRPr="00000000">
              <w:rPr>
                <w:rFonts w:ascii="Google Sans" w:cs="Google Sans" w:eastAsia="Google Sans" w:hAnsi="Google Sans"/>
                <w:color w:val="1f1f1f"/>
              </w:rPr>
              <w:drawing>
                <wp:inline distB="19050" distT="19050" distL="19050" distR="19050">
                  <wp:extent cx="730150" cy="170684"/>
                  <wp:effectExtent b="0" l="0" r="0" t="0"/>
                  <wp:docPr id="3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730150" cy="170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batch size 2, hội tụ trong 50–55 epochs)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Tuyệt Đối (10/10)</w:t>
            </w:r>
            <w:r w:rsidDel="00000000" w:rsidR="00000000" w:rsidRPr="00000000">
              <w:rPr>
                <w:rFonts w:ascii="Google Sans" w:cs="Google Sans" w:eastAsia="Google Sans" w:hAnsi="Google Sans"/>
                <w:color w:val="1f1f1f"/>
                <w:rtl w:val="0"/>
              </w:rPr>
              <w:t xml:space="preserve"> (Đóng băng backbone, mỗi bộ dữ liệu chạy xong trong vài giờ)</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Phân Cực (4/10 cho ViT gốc; 9/10 cho Light-UNETR bán giám sát)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26, 29, 67]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Lỗ hổng Nghiên cứu Cấp bách Nhất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Phá vỡ cấu trúc không gian 2D khi trải phẳng 1D; suy giảm thông tin tần số cao</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Xử lý đồng nhất làm hỏng các vùng suy thoái hỗn hợp không đồng đều theo không gian</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Tăng độ trễ suy luận của Adapter; tốn bộ nhớ kích hoạt; thiếu cầu nối vật lý khi lệch miền</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Đói dữ liệu khi huấn luyện từ đầu; xung đột gradient giữa các tầng ổn định và bất ổn định</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Xuất Kiến Trúc Đột Phá Khuyến Nghị Cho Mục Tiêu Q1 IEEE TPAMI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tối đa hóa xác suất được chấp nhận trên IEEE TPAMI đồng thời biến cụm tài khoản Kaggle T4x2 thành một tổ hợp sản xuất thực nghiệm hiệu năng cao, chiến lược tối ưu nhất không phải là chọn riêng lẻ một hướng đi, mà là hợp nhất điểm rơi lý thuyết của Hướng 1, Hướng 2 và Hướng 3 vào một kiến trúc lai ghép có bảo chứng toán học chặt chẽ. Trọng tâm nghiên cứu được khuyến nghị là giải quyết bài toán Khôi phục Ảnh Toàn diện Không đồng nhất theo Không gian (Spatially Non-Uniform All-in-One Image Restoration) kết hợp khả năng mở rộng sang Phân đoạn Cấu trúc Cấp thấp Phổ quát (Universal Low-Level Structure &amp; Camouflaged Segmentation) thông qua một kiến trúc hoàn toàn mới mang tên: Kiến Trúc Không Gian Trạng Thái Tần Số - Không Gian Dẫn Dắt Bởi Vận Chuyển Tối Ưu Và Bản Đồ Bất Định (Uncertainty-Guided Optimal Transport Frequency-Spatial State-Space Network — viết tắt là UOT-FSMamba).</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Toán Cụ Thể Và Cấp Bách Được Giải Quyết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thực tế triển khai thị giác máy tính hiện đại trên thiết bị bay không người lái (UAV), robot tự hành và thiết bị di động, hình ảnh thu nhận không bao giờ chỉ chịu một loại suy thoái đơn lẻ và phân bố đều khắp bức ảnh</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Một khung hình thực tế thường chứa suy thoái hỗn hợp biến thiên theo không gian (spatially varying compound degradations)—chẳng hạn vùng bầu trời bị nhiễu sương mù (tần số thấp), vùng rìa vật thể chuyển động bị nhòe (mất pha tần số cao), và vùng tối bị nhiễu hạt cảm biến (nhiễu cộng tần số cao)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Khi áp dụng các mô hình AiOIR dựa trên Transformer (như Restormer, PromptIR, hay DA-RCOT 50M tham số), chi phí tính toán bậc hai gây tràn bộ nhớ ở độ phân giải cao và sự dư thừa kênh hạng thấp làm lãng phí tới 88% tham số</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Ngược lại, nếu sử dụng các kiến trúc Vision Mamba tiêu chuẩn (như MambaIR), đường quét 1D cố định sẽ trộn lẫn các vùng bị suy thoái nặng vào trạng thái ẩn </w:t>
      </w:r>
      <w:r w:rsidDel="00000000" w:rsidR="00000000" w:rsidRPr="00000000">
        <w:rPr>
          <w:rFonts w:ascii="Google Sans" w:cs="Google Sans" w:eastAsia="Google Sans" w:hAnsi="Google Sans"/>
          <w:color w:val="1f1f1f"/>
        </w:rPr>
        <w:drawing>
          <wp:inline distB="19050" distT="19050" distL="19050" distR="19050">
            <wp:extent cx="172194" cy="200893"/>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72194" cy="200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các vùng ảnh sạch lân cận do tính chất đệ quy </w:t>
      </w:r>
      <w:r w:rsidDel="00000000" w:rsidR="00000000" w:rsidRPr="00000000">
        <w:rPr>
          <w:rFonts w:ascii="Google Sans" w:cs="Google Sans" w:eastAsia="Google Sans" w:hAnsi="Google Sans"/>
          <w:color w:val="1f1f1f"/>
        </w:rPr>
        <w:drawing>
          <wp:inline distB="19050" distT="19050" distL="19050" distR="19050">
            <wp:extent cx="1497511" cy="200304"/>
            <wp:effectExtent b="0" l="0" r="0" t="0"/>
            <wp:docPr id="1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1497511" cy="200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gây ra hiện tượng nhiễm bẩn trạng thái xuyên không gian (cross-region state contamination) và làm bệt các chi tiết kết cấu tần số cao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Kiến trúc UOT-FSMamba được thiết kế để giải quyết triệt để hiện tượng nhiễm bẩn trạng thái này với quy mô siêu nhẹ, chỉ từ 6M đến 8M tham số (tương đương chuẩn MIRAGE-T tại ICLR 2026)</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95650"/>
            <wp:effectExtent b="0" l="0" r="0" t="0"/>
            <wp:docPr id="13"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Kỹ Thuật Của Ba Mô-đun Đột Phá Trong UOT-FSMamba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UOT-FSMamba được cấu thành từ ba đóng góp kỹ thuật cốt lõi hoạt động hiệp đồng nhằm khắc phục đồng thời hạn chế của SSM và AiOIR.</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Mô-đun 1: Phân rã Tần số - Không gian Nhận thức Suy thoái (Degradation-Aware Frequency-Spatial Decoupling)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đưa trực tiếp ảnh suy thoái vào các lớp SSM, đặc trưng đầu vào </w:t>
      </w:r>
      <w:r w:rsidDel="00000000" w:rsidR="00000000" w:rsidRPr="00000000">
        <w:rPr>
          <w:rFonts w:ascii="Google Sans" w:cs="Google Sans" w:eastAsia="Google Sans" w:hAnsi="Google Sans"/>
          <w:color w:val="1f1f1f"/>
        </w:rPr>
        <w:drawing>
          <wp:inline distB="19050" distT="19050" distL="19050" distR="19050">
            <wp:extent cx="1185415" cy="200756"/>
            <wp:effectExtent b="0" l="0" r="0" t="0"/>
            <wp:docPr id="1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1185415" cy="200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tách thành hai luồng xử lý song song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Luồng không gian sử dụng các phép tích chập tách biệt theo chiều sâu đa tỷ lệ (multi-scale depth-wise convolutions với kích thước nhân </w:t>
      </w:r>
      <w:r w:rsidDel="00000000" w:rsidR="00000000" w:rsidRPr="00000000">
        <w:rPr>
          <w:rFonts w:ascii="Google Sans" w:cs="Google Sans" w:eastAsia="Google Sans" w:hAnsi="Google Sans"/>
          <w:color w:val="1f1f1f"/>
        </w:rPr>
        <w:drawing>
          <wp:inline distB="19050" distT="19050" distL="19050" distR="19050">
            <wp:extent cx="920948" cy="199381"/>
            <wp:effectExtent b="0" l="0" r="0" t="0"/>
            <wp:docPr id="15"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920948" cy="199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duy trì cấu trúc hình học cục bộ</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Luồng tần số áp dụng biến đổi Fourier nhanh 2D (FFT) hoặc biến đổi Cosine rời rạc (DCT) để tách tín hiệu thành dải tần số thấp </w:t>
      </w:r>
      <w:r w:rsidDel="00000000" w:rsidR="00000000" w:rsidRPr="00000000">
        <w:rPr>
          <w:rFonts w:ascii="Google Sans" w:cs="Google Sans" w:eastAsia="Google Sans" w:hAnsi="Google Sans"/>
          <w:color w:val="1f1f1f"/>
        </w:rPr>
        <w:drawing>
          <wp:inline distB="19050" distT="19050" distL="19050" distR="19050">
            <wp:extent cx="217736" cy="198802"/>
            <wp:effectExtent b="0" l="0" r="0" t="0"/>
            <wp:docPr id="16"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17736" cy="198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(chứa thông tin màu sắc, độ sáng, sương mù) và dải tần số cao </w:t>
      </w:r>
      <w:r w:rsidDel="00000000" w:rsidR="00000000" w:rsidRPr="00000000">
        <w:rPr>
          <w:rFonts w:ascii="Google Sans" w:cs="Google Sans" w:eastAsia="Google Sans" w:hAnsi="Google Sans"/>
          <w:color w:val="1f1f1f"/>
        </w:rPr>
        <w:drawing>
          <wp:inline distB="19050" distT="19050" distL="19050" distR="19050">
            <wp:extent cx="241845" cy="203150"/>
            <wp:effectExtent b="0" l="0" r="0" t="0"/>
            <wp:docPr id="1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41845" cy="203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(chứa chi tiết biên, hạt mưa, nhiễu cảm biến)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Việc tách bạch này kế thừa và phát triển quan sát thực nghiệm của DA-RCOT (TPAMI 2025) rằng phần dư của các loại suy thoái có tính thưa (sparsity) và chữ ký phổ rất khác nhau trong miền Fourier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Mô-đun 2: Quét Không gian Trạng thái Động Dẫn dắt bởi Độ Bất định (Uncertainty-Routed Dynamic Selective Scan)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Mô-đun thứ hai đóng vai trò là động cơ kỹ thuật chính để vượt qua các mô hình Vision Mamba hiện tại như VMamba hay DAMamba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Phát triển từ cơ chế ước lượng độ bất định cấp độ pixel của OPIR (ICML 2026)</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mô-đun này ước lượng một bản đồ độ bất định suy thoái cục bộ </w:t>
      </w:r>
      <w:r w:rsidDel="00000000" w:rsidR="00000000" w:rsidRPr="00000000">
        <w:rPr>
          <w:rFonts w:ascii="Google Sans" w:cs="Google Sans" w:eastAsia="Google Sans" w:hAnsi="Google Sans"/>
          <w:color w:val="1f1f1f"/>
        </w:rPr>
        <w:drawing>
          <wp:inline distB="19050" distT="19050" distL="19050" distR="19050">
            <wp:extent cx="406598" cy="198571"/>
            <wp:effectExtent b="0" l="0" r="0" t="0"/>
            <wp:docPr id="1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06598" cy="198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tại mỗi vị trí pixel </w:t>
      </w:r>
      <w:r w:rsidDel="00000000" w:rsidR="00000000" w:rsidRPr="00000000">
        <w:rPr>
          <w:rFonts w:ascii="Google Sans" w:cs="Google Sans" w:eastAsia="Google Sans" w:hAnsi="Google Sans"/>
          <w:color w:val="1f1f1f"/>
        </w:rPr>
        <w:drawing>
          <wp:inline distB="19050" distT="19050" distL="19050" distR="19050">
            <wp:extent cx="98673" cy="207214"/>
            <wp:effectExtent b="0" l="0" r="0" t="0"/>
            <wp:docPr id="19"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98673" cy="20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trọng số toán tử lân cận: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89173"/>
            <wp:effectExtent b="0" l="0" r="0" t="0"/>
            <wp:docPr id="20"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05500" cy="68917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quét ảnh theo thứ tự hàng ngang hoặc cột dọc cố định làm lây lan nhiễu từ vùng có độ bất định cao sang vùng sạch, kiến trúc sử dụng bản đồ </w:t>
      </w:r>
      <w:r w:rsidDel="00000000" w:rsidR="00000000" w:rsidRPr="00000000">
        <w:rPr>
          <w:rFonts w:ascii="Google Sans" w:cs="Google Sans" w:eastAsia="Google Sans" w:hAnsi="Google Sans"/>
          <w:color w:val="1f1f1f"/>
        </w:rPr>
        <w:drawing>
          <wp:inline distB="19050" distT="19050" distL="19050" distR="19050">
            <wp:extent cx="406598" cy="198571"/>
            <wp:effectExtent b="0" l="0" r="0" t="0"/>
            <wp:docPr id="1"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06598" cy="198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hợp đường cong lấp đầy không gian Hilbert (như trong SpectMamba và FractalMamba++) để phân vùng và định tuyến động thứ tự quét 1D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Quá trình quét được điều hướng đi từ các vùng có độ tin cậy cao (ít suy thoái) sang các vùng suy thoái nặng, đồng thời điều chỉnh tham số bước nhảy </w:t>
      </w:r>
      <w:r w:rsidDel="00000000" w:rsidR="00000000" w:rsidRPr="00000000">
        <w:rPr>
          <w:rFonts w:ascii="Google Sans" w:cs="Google Sans" w:eastAsia="Google Sans" w:hAnsi="Google Sans"/>
          <w:color w:val="1f1f1f"/>
        </w:rPr>
        <w:drawing>
          <wp:inline distB="19050" distT="19050" distL="19050" distR="19050">
            <wp:extent cx="222498" cy="203151"/>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22498" cy="203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phương trình trạng thái </w:t>
      </w:r>
      <w:r w:rsidDel="00000000" w:rsidR="00000000" w:rsidRPr="00000000">
        <w:rPr>
          <w:rFonts w:ascii="Google Sans" w:cs="Google Sans" w:eastAsia="Google Sans" w:hAnsi="Google Sans"/>
          <w:color w:val="1f1f1f"/>
        </w:rPr>
        <w:drawing>
          <wp:inline distB="19050" distT="19050" distL="19050" distR="19050">
            <wp:extent cx="1289152" cy="200535"/>
            <wp:effectExtent b="0" l="0" r="0" t="0"/>
            <wp:docPr id="3"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1289152" cy="200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chủ động ngắt hoặc làm suy giảm trạng thái lỗi khi đường quét bước qua ranh giới giữa hai vùng có mức suy thoái khác biệt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Cơ chế ngắt trạng thái có chọn lọc theo độ bất định (Uncertainty-Gated State Reset) này chặn đứng hiện tượng nhiễm bẩn trạng thái xuyên không gian mà vẫn bảo toàn nguyên vẹn độ phức tạp tuyến tính </w:t>
      </w:r>
      <w:r w:rsidDel="00000000" w:rsidR="00000000" w:rsidRPr="00000000">
        <w:rPr>
          <w:rFonts w:ascii="Google Sans" w:cs="Google Sans" w:eastAsia="Google Sans" w:hAnsi="Google Sans"/>
          <w:color w:val="1f1f1f"/>
        </w:rPr>
        <w:drawing>
          <wp:inline distB="19050" distT="19050" distL="19050" distR="19050">
            <wp:extent cx="441127" cy="201384"/>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41127" cy="20138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Mô-đun 3: Điều kiện hóa Phần dư qua Trọng tâm Vận chuyển Tối ưu (Optimal Transport Residual Barycenter Conditioning)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mô hình xử lý được từ 5 đến 10 loại suy thoái khác nhau (hoặc tinh chỉnh sang bài toán phân đoạn vật thể ngụy trang và bóng đổ như EVP) mà không bị xung đột gradient giữa các tác vụ</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kiến trúc nhúng một bộ sinh gợi ý dựa trên Vận chuyển Tối ưu (Optimal Transport)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Cụ thể, phần dư giữa đặc trưng suy thoái và đặc trưng khôi phục sơ bộ </w:t>
      </w:r>
      <w:r w:rsidDel="00000000" w:rsidR="00000000" w:rsidRPr="00000000">
        <w:rPr>
          <w:rFonts w:ascii="Google Sans" w:cs="Google Sans" w:eastAsia="Google Sans" w:hAnsi="Google Sans"/>
          <w:color w:val="1f1f1f"/>
        </w:rPr>
        <w:drawing>
          <wp:inline distB="19050" distT="19050" distL="19050" distR="19050">
            <wp:extent cx="1333948" cy="200092"/>
            <wp:effectExtent b="0" l="0" r="0" t="0"/>
            <wp:docPr id="5"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333948" cy="200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chiếu vào không gian xác suất và căn chỉnh với các vector nguyên mẫu (prototypes) thông qua khoảng cách Wasserstein trong miền tần số</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Không giống DA-RCOT phải dựa vào mạng Restormer nặng 50M tham số</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mô-đun này áp dụng phân rã kênh hạng thấp (low-rank triplet decomposition như LoTA trên TPAMI 2026 và MIRAGE tại ICLR 2026)</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giữ tổng dung lượng toàn mạng ở mức 6.5M đến 8.0M tham số.</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Đóng Góp Lý Thuyết Toán Học Để Thuyết Phục Phản Biện TPAMI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vượt qua vòng thẩm định khắt khe của Associate Editor tại TPAMI và xóa bỏ hoàn toàn nghi ngại về việc lắp ghép mô-đun cơ học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bản thảo cần thiết lập một chương phân tích lý thuyết độc lập (Theoretical Analysis) chứng minh hai định lý toán học theo chuẩn mực của các công bố TPAMI giai đoạn 2025–2026</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Định lý thứ nhất thiết lập Cận suy giảm sai số truyền trạng thái (State Contamination Error Bound), sử dụng giải tích ma trận và lý thuyết dòng chảy gradient để chứng minh rằng khi áp dụng cổng điều biến </w:t>
      </w:r>
      <w:r w:rsidDel="00000000" w:rsidR="00000000" w:rsidRPr="00000000">
        <w:rPr>
          <w:rFonts w:ascii="Google Sans" w:cs="Google Sans" w:eastAsia="Google Sans" w:hAnsi="Google Sans"/>
          <w:color w:val="1f1f1f"/>
        </w:rPr>
        <w:drawing>
          <wp:inline distB="19050" distT="19050" distL="19050" distR="19050">
            <wp:extent cx="222498" cy="203151"/>
            <wp:effectExtent b="0" l="0" r="0" t="0"/>
            <wp:docPr id="6"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22498" cy="203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phụ thuộc vào độ bất định cục bộ </w:t>
      </w:r>
      <w:r w:rsidDel="00000000" w:rsidR="00000000" w:rsidRPr="00000000">
        <w:rPr>
          <w:rFonts w:ascii="Google Sans" w:cs="Google Sans" w:eastAsia="Google Sans" w:hAnsi="Google Sans"/>
          <w:color w:val="1f1f1f"/>
        </w:rPr>
        <w:drawing>
          <wp:inline distB="19050" distT="19050" distL="19050" distR="19050">
            <wp:extent cx="406598" cy="198571"/>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06598" cy="198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sai số lan truyền từ một vùng nhiễu ngoại lai (outlier degradation patch) sang trạng thái ẩn </w:t>
      </w:r>
      <w:r w:rsidDel="00000000" w:rsidR="00000000" w:rsidRPr="00000000">
        <w:rPr>
          <w:rFonts w:ascii="Google Sans" w:cs="Google Sans" w:eastAsia="Google Sans" w:hAnsi="Google Sans"/>
          <w:color w:val="1f1f1f"/>
        </w:rPr>
        <w:drawing>
          <wp:inline distB="19050" distT="19050" distL="19050" distR="19050">
            <wp:extent cx="354658" cy="201292"/>
            <wp:effectExtent b="0" l="0" r="0" t="0"/>
            <wp:docPr id="8"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354658" cy="201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vùng ảnh sạch bị chặn trên bởi một hàm suy giảm mũ chặt hơn đáng kể so với quét Mamba đồng nhất tiêu chuẩn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Định lý thứ hai chứng minh Cận Tổng quát hóa Đa tác vụ qua Nút thắt Thông tin và Vận chuyển Tối ưu (Generalization Bound): giả sử hàm mất mát khôi phục </w:t>
      </w:r>
      <w:r w:rsidDel="00000000" w:rsidR="00000000" w:rsidRPr="00000000">
        <w:rPr>
          <w:rFonts w:ascii="Google Sans" w:cs="Google Sans" w:eastAsia="Google Sans" w:hAnsi="Google Sans"/>
          <w:color w:val="1f1f1f"/>
        </w:rPr>
        <w:drawing>
          <wp:inline distB="19050" distT="19050" distL="19050" distR="19050">
            <wp:extent cx="430411" cy="200858"/>
            <wp:effectExtent b="0" l="0" r="0" t="0"/>
            <wp:docPr id="9"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430411" cy="2008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thỏa mãn tính trơn </w:t>
      </w:r>
      <w:r w:rsidDel="00000000" w:rsidR="00000000" w:rsidRPr="00000000">
        <w:rPr>
          <w:rFonts w:ascii="Google Sans" w:cs="Google Sans" w:eastAsia="Google Sans" w:hAnsi="Google Sans"/>
          <w:color w:val="1f1f1f"/>
        </w:rPr>
        <w:drawing>
          <wp:inline distB="19050" distT="19050" distL="19050" distR="19050">
            <wp:extent cx="121295" cy="195938"/>
            <wp:effectExtent b="0" l="0" r="0" t="0"/>
            <wp:docPr id="10"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121295" cy="195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-Lipschitz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việc kết hợp khung lý thuyết Nút thắt Thông tin (Information Bottleneck) và khoảng cách Wasserstein (tương tự nền tảng của DA-RCOT TPAMI 2025 và OT-VP / Prompt-OT TPAMI 2026)</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cho phép chứng minh rằng cực tiểu hóa chi phí vận chuyển phần dư trong miền tần số giúp thu hẹp cận trên của rủi ro thực nghiệm (empirical risk bound) khi mô hình đối mặt với các mức độ suy thoái chưa từng thấy ở phần đuôi phân phối (unseen degradation levels / tail-risk scenarios)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Thực Thi Thực Nghiệm Trên Cụm Kaggle T4x2 Và Lộ Trình Thẩm Định TPAMI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kết hợp giữa kiến trúc UOT-FSMamba (nhẹ 6.5M–8M tham số, huấn luyện trên mảnh cắt ảnh </w:t>
      </w:r>
      <w:r w:rsidDel="00000000" w:rsidR="00000000" w:rsidRPr="00000000">
        <w:rPr>
          <w:rFonts w:ascii="Google Sans" w:cs="Google Sans" w:eastAsia="Google Sans" w:hAnsi="Google Sans"/>
          <w:color w:val="1f1f1f"/>
        </w:rPr>
        <w:drawing>
          <wp:inline distB="19050" distT="19050" distL="19050" distR="19050">
            <wp:extent cx="730150" cy="170684"/>
            <wp:effectExtent b="0" l="0" r="0" t="0"/>
            <wp:docPr id="3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730150" cy="170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hệ thống đa tài khoản Kaggle T4x2 cho phép triển khai một chiến dịch thực nghiệm quy mô lớn mà không cần tới các cụm máy chủ vật lý đắt tiền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Phân Bổ Và Thực Thi Song Song Trên Cụm Kaggle T4x2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tài khoản Kaggle được cấu hình chuẩn hóa với kịch bản khởi chạy đa tiến trình sử dụng DistributedDataParallel (DDP) và độ chính xác hỗn hợp PyTorch AMP trên 2 GPU Tesla T4 (tổng 30GB VRAM)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Vì dữ liệu huấn luyện khôi phục ảnh (3D/5D/10D) và phân đoạn cấu trúc cấp thấp (EVP) có dung lượng vừa phải, toàn bộ tập dữ liệu được gắn trực tiếp qua tính năng Add Input của Kaggle Dataset để không chiếm dụng hạn ngạch ổ cứng lưu trữ cục bộ /kaggle/working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Bảng kế hoạch dưới đây phân bổ tác vụ trên 18 tài khoản Kaggle T4x2 chạy đồng thời, giúp hoàn tất toàn bộ khối lượng thực nghiệm của một bài báo TPAMI chỉ trong 1 đến 2 tuần.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Nhóm Tài khoản Kaggle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Số lượng Tài khoản (T4x2)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Nhiệm vụ Thực nghiệm Cụ thể</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Bộ Dữ liệu &amp; Cấu hình Huấn luyện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Thời gian Ước tính / Phiên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1: Huấn luyện Mô hình Chính (All-in-One 3D &amp; 5D)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tài khoản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Huấn luyện UOT-FSMamba (bản Tiny 6M và Base 8M) trên cấu hình 3 suy thoái (3D) và 5 suy thoái (5D) theo chuẩn DA-RCOT và MIRAGE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BSD400/68, Rain100L, RESIDE (SOTS), GoPro, LOLv1; Patch </w:t>
            </w:r>
            <w:r w:rsidDel="00000000" w:rsidR="00000000" w:rsidRPr="00000000">
              <w:rPr>
                <w:rFonts w:ascii="Google Sans" w:cs="Google Sans" w:eastAsia="Google Sans" w:hAnsi="Google Sans"/>
                <w:color w:val="1f1f1f"/>
              </w:rPr>
              <w:drawing>
                <wp:inline distB="19050" distT="19050" distL="19050" distR="19050">
                  <wp:extent cx="730150" cy="170684"/>
                  <wp:effectExtent b="0" l="0" r="0" t="0"/>
                  <wp:docPr id="3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730150" cy="170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50–55 epochs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 12 giờ (1–2 phiên Kaggle)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2: Mở rộng Chuẩn 10 Suy thoái (10D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tài khoản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Huấn luyện mở rộng lên 10 loại suy thoái (10D AiOIR) theo chuẩn ICLR 2025 (DCPT) để chứng minh khả năng chống xung đột gradient khi số tác vụ tăng gấp đôi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tập dữ liệu 10D tích hợp đa dạng mức nhiễu và suy thoái thời tiết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18 giờ (2 phiên Kaggle)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3: Chuyển giao sang Phân đoạn Tiền cảnh Phổ quát (EVP 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tài khoản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Đóng băng encoder của UOT-FSMamba (hoặc cắm mô-đun UOT-FS làm Adapter cho SegFormer-B4) để chạy 4 bài toán phân đoạn cấu trúc cấp thấp theo chuẩn EVP (TPAMI 2025)</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TK 1: Camouflaged (COD10K, CAMO, CHAMELEON); TK 2: Defocus Blur (DUT, CUHK); TK 3: Forgery (CASIA, IMD2020); TK 4: Shadow (ISTD, SBU)</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 5 giờ / tài khoản (1 phiên duy nhất)</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4: Ma trận Tháo gỡ Thành phần (Ablation Study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tài khoản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Chạy 10 biến thể cắt bỏ thành phần để chứng minh vai trò độc lập và hiệp đồng của từng mô-đun theo yêu cầu bắt buộc của phản biện TPAMI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TK 1: Bỏ nhánh FFT/DCT; TK 2: Thay quét động bằng quét SS2D cố định; TK 3: Bỏ cổng độ bất định </w:t>
            </w:r>
            <w:r w:rsidDel="00000000" w:rsidR="00000000" w:rsidRPr="00000000">
              <w:rPr>
                <w:rFonts w:ascii="Google Sans" w:cs="Google Sans" w:eastAsia="Google Sans" w:hAnsi="Google Sans"/>
                <w:color w:val="1f1f1f"/>
              </w:rPr>
              <w:drawing>
                <wp:inline distB="19050" distT="19050" distL="19050" distR="19050">
                  <wp:extent cx="406598" cy="198571"/>
                  <wp:effectExtent b="0" l="0" r="0" t="0"/>
                  <wp:docPr id="40"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06598" cy="198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TK 4: Thay hàm chi phí OT bằng </w:t>
            </w:r>
            <w:r w:rsidDel="00000000" w:rsidR="00000000" w:rsidRPr="00000000">
              <w:rPr>
                <w:rFonts w:ascii="Google Sans" w:cs="Google Sans" w:eastAsia="Google Sans" w:hAnsi="Google Sans"/>
                <w:color w:val="1f1f1f"/>
              </w:rPr>
              <w:drawing>
                <wp:inline distB="19050" distT="19050" distL="19050" distR="19050">
                  <wp:extent cx="460623" cy="172734"/>
                  <wp:effectExtent b="0" l="0" r="0" t="0"/>
                  <wp:docPr id="42"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460623" cy="1727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thuần; TK 5: Khảo sát hạng phân rã.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8 giờ / tài khoản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5: Kiểm chứng Lý thuyết &amp; Zero-Shot Generalization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tài khoản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Zero-Shot sang các mức nhiễu chưa từng thấy (</w:t>
            </w:r>
            <w:r w:rsidDel="00000000" w:rsidR="00000000" w:rsidRPr="00000000">
              <w:rPr>
                <w:rFonts w:ascii="Google Sans" w:cs="Google Sans" w:eastAsia="Google Sans" w:hAnsi="Google Sans"/>
                <w:color w:val="1f1f1f"/>
              </w:rPr>
              <w:drawing>
                <wp:inline distB="19050" distT="19050" distL="19050" distR="19050">
                  <wp:extent cx="1161459" cy="171363"/>
                  <wp:effectExtent b="0" l="0" r="0" t="0"/>
                  <wp:docPr id="45"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1161459" cy="171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Urban100/Kodak24), vẽ biểu đồ phân cụm t-SNE của phần dư </w:t>
            </w:r>
            <w:r w:rsidDel="00000000" w:rsidR="00000000" w:rsidRPr="00000000">
              <w:rPr>
                <w:rFonts w:ascii="Google Sans" w:cs="Google Sans" w:eastAsia="Google Sans" w:hAnsi="Google Sans"/>
                <w:color w:val="1f1f1f"/>
              </w:rPr>
              <w:drawing>
                <wp:inline distB="19050" distT="19050" distL="19050" distR="19050">
                  <wp:extent cx="200472" cy="171833"/>
                  <wp:effectExtent b="0" l="0" r="0" t="0"/>
                  <wp:docPr id="47"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200472" cy="171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đo tốc độ hội tụ thực tế so với đường lý thuyết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Urban100, Kodak24, WED, dữ liệu UAV thực tế và ảnh y tế thiếu nhãn (LA/BraTS nếu cần mở rộng đa miền)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4 giờ / tài khoản</w:t>
            </w:r>
          </w:p>
        </w:tc>
      </w:tr>
    </w:tbl>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Đóng Gói Bản Thảo Và Vượt Qua Cửa Ải Associate Editor Tại TPAMI</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thu thập đầy đủ dữ liệu từ cụm Kaggle T4x2, khâu quyết định cuối cùng để không bị từ chối tại bàn biên tập (desk reject) nằm ở cách cấu trúc bản thảo Regular Paper (14 trang) và thư ngỏ (Cover Letter) gửi Ban Biên tập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Trong Cover Letter gửi Tổng Biên tập và Associate Editor (AE), nhóm tác giả tuyệt đối không được sử dụng những cách diễn đạt chung chung như trình bày một phương pháp khôi phục ảnh mới đạt kết quả cao trên các bộ dữ liệu chuẩn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Một cách đặt vấn đề hẹp như vậy sẽ khiến AE lập tức chuyển hướng hoặc từ chối bài báo với lý do phạm vi phù hợp hơn với </w:t>
      </w:r>
      <w:r w:rsidDel="00000000" w:rsidR="00000000" w:rsidRPr="00000000">
        <w:rPr>
          <w:rFonts w:ascii="Google Sans" w:cs="Google Sans" w:eastAsia="Google Sans" w:hAnsi="Google Sans"/>
          <w:i w:val="1"/>
          <w:iCs w:val="1"/>
          <w:color w:val="1f1f1f"/>
          <w:rtl w:val="0"/>
        </w:rPr>
        <w:t xml:space="preserve">IEEE Transactions on Image Processing</w:t>
      </w:r>
      <w:r w:rsidDel="00000000" w:rsidR="00000000" w:rsidRPr="00000000">
        <w:rPr>
          <w:rFonts w:ascii="Google Sans" w:cs="Google Sans" w:eastAsia="Google Sans" w:hAnsi="Google Sans"/>
          <w:color w:val="1f1f1f"/>
          <w:rtl w:val="0"/>
        </w:rPr>
        <w:t xml:space="preserve"> (IEEE TIP - tạp chí có tỷ lệ chấp nhận khoảng 24% chuyên về xử lý ảnh thuần túy)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Thay vào đó, thư ngỏ phải định vị rõ ràng rằng công trình giải quyết bài toán biểu diễn mẫu tổng quát trong không gian trạng thái liên tục và vận chuyển tối ưu đa miền, được kiểm chứng xuyên suốt từ khôi phục tín hiệu cấp thấp (AiOIR) đến phân đoạn cấu trúc tiền cảnh (Universal Foreground Segmentation)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Song song với việc định vị phạm vi, bản thảo phải cung cấp đầy đủ bằng chứng giải thích mô hình theo hướng hộp trắng (white-box interpretability) bởi phản biện viên TPAMI đặc biệt khắt khe với các mạng thần kinh hộp đen chỉ báo cáo chỉ số PSNR/SSIM đơn thuần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Dữ liệu trích xuất từ Nhóm Tài khoản Kaggle số 5 cần được chuyển hóa thành các minh họa trực quan có mật độ thông tin cao, bao gồm phổ biên độ Fourier trước và sau khi đi qua khối UOT-FSMamba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bản đồ nhiệt độ bất định </w:t>
      </w:r>
      <w:r w:rsidDel="00000000" w:rsidR="00000000" w:rsidRPr="00000000">
        <w:rPr>
          <w:rFonts w:ascii="Google Sans" w:cs="Google Sans" w:eastAsia="Google Sans" w:hAnsi="Google Sans"/>
          <w:color w:val="1f1f1f"/>
        </w:rPr>
        <w:drawing>
          <wp:inline distB="19050" distT="19050" distL="19050" distR="19050">
            <wp:extent cx="406598" cy="198571"/>
            <wp:effectExtent b="0" l="0" r="0" t="0"/>
            <wp:docPr id="50"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06598" cy="198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chồng lên các vùng suy thoái hỗn hợp</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biểu đồ t-SNE chứng minh các vector phần dư vận chuyển tối ưu tự động phân tách thành các cụm rõ rệt theo từng loại và mức độ suy thoái mà không cần nhãn giám sát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cùng đồ thị đối chiếu đường cong hội tụ thực nghiệm khớp chặt chẽ với cận lý thuyết trong Định lý 1 và Định lý 2</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cùng, tính minh bạch và khả năng tái lập kết quả (reproducibility package) phải được hoàn thiện trước thời điểm nhấn nút nộp bài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Việc chuẩn bị sẵn kho mã nguồn ẩn danh kèm theo cam kết công bố mã nguồn PyTorch chuẩn hóa và trọng số huấn luyện trên Hugging Face hoặc GitHub (tương tự quy chuẩn của Light-UNETR và DA-RCOT) sẽ loại bỏ hoàn toàn các nghi ngờ về tính xác thực của số liệu</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Trong phần khai báo bắt buộc của Cover Letter, tác giả cần đưa nguyên văn tuyên bố về tính nguyên bản (originality), xác nhận bản thảo không đang được xét duyệt ở bất kỳ nơi nào khác, xác nhận sự đồng thuận của toàn bộ tác giả, đồng thời đề xuất từ 3 đến 5 chuyên gia phản biện độc lập (conflict-free reviewers) thực sự am hiểu về Vision Mamba, Optimal Transport và Unified Image Restoration kèm theo một câu giải thích lý do lựa chọn cho từng chuyên gia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Bằng cách né tránh cuộc đua vũ trang tiền huấn luyện mạng xương sống khổng lồ trên ImageNet và tập trung toàn lực vào kiến trúc UOT-FSMamba siêu nhẹ (6M–8M tham số) cho bài toán khôi phục và phân đoạn cấu trúc đa suy thoái, lộ trình nghiên cứu này sẽ khai thác trọn vẹn sức mạnh tính toán song song của dàn máy Kaggle T4x2, đáp ứng chính xác các tiêu chuẩn khắt khe nhất về cả chiều sâu toán học lẫn quy mô thực nghiệm của tạp chí Q1 </w:t>
      </w:r>
      <w:r w:rsidDel="00000000" w:rsidR="00000000" w:rsidRPr="00000000">
        <w:rPr>
          <w:rFonts w:ascii="Google Sans" w:cs="Google Sans" w:eastAsia="Google Sans" w:hAnsi="Google Sans"/>
          <w:i w:val="1"/>
          <w:iCs w:val="1"/>
          <w:color w:val="1f1f1f"/>
          <w:rtl w:val="0"/>
        </w:rPr>
        <w:t xml:space="preserve">IEEE Transactions on Pattern Analysis and Machine Intelligence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Computer Science Research Journals in 2026 (Ranked) - jrist, </w:t>
      </w:r>
      <w:hyperlink r:id="rId50">
        <w:r w:rsidDel="00000000" w:rsidR="00000000" w:rsidRPr="00000000">
          <w:rPr>
            <w:rFonts w:ascii="Google Sans" w:cs="Google Sans" w:eastAsia="Google Sans" w:hAnsi="Google Sans"/>
            <w:color w:val="0000ee"/>
            <w:sz w:val="24"/>
            <w:szCs w:val="24"/>
            <w:u w:val="single"/>
            <w:rtl w:val="0"/>
          </w:rPr>
          <w:t xml:space="preserve">https://jrist.org/jrist/top-research-journals-in-computer-science-2026-guide</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Professor Zhou Xingcai and his team published a paper in Top AI, </w:t>
      </w:r>
      <w:hyperlink r:id="rId51">
        <w:r w:rsidDel="00000000" w:rsidR="00000000" w:rsidRPr="00000000">
          <w:rPr>
            <w:rFonts w:ascii="Google Sans" w:cs="Google Sans" w:eastAsia="Google Sans" w:hAnsi="Google Sans"/>
            <w:color w:val="0000ee"/>
            <w:sz w:val="24"/>
            <w:szCs w:val="24"/>
            <w:u w:val="single"/>
            <w:rtl w:val="0"/>
          </w:rPr>
          <w:t xml:space="preserve">https://english.nau.edu.cn/2025/1204/c11486a151734/page.htm</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Transactions on Pattern Analysis and Machine Intelligence, </w:t>
      </w:r>
      <w:hyperlink r:id="rId52">
        <w:r w:rsidDel="00000000" w:rsidR="00000000" w:rsidRPr="00000000">
          <w:rPr>
            <w:rFonts w:ascii="Google Sans" w:cs="Google Sans" w:eastAsia="Google Sans" w:hAnsi="Google Sans"/>
            <w:color w:val="0000ee"/>
            <w:sz w:val="24"/>
            <w:szCs w:val="24"/>
            <w:u w:val="single"/>
            <w:rtl w:val="0"/>
          </w:rPr>
          <w:t xml:space="preserve">https://www.computer.org/csdl/journal/tp</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Papers, </w:t>
      </w:r>
      <w:hyperlink r:id="rId53">
        <w:r w:rsidDel="00000000" w:rsidR="00000000" w:rsidRPr="00000000">
          <w:rPr>
            <w:rFonts w:ascii="Google Sans" w:cs="Google Sans" w:eastAsia="Google Sans" w:hAnsi="Google Sans"/>
            <w:color w:val="0000ee"/>
            <w:sz w:val="24"/>
            <w:szCs w:val="24"/>
            <w:u w:val="single"/>
            <w:rtl w:val="0"/>
          </w:rPr>
          <w:t xml:space="preserve">https://www.pnu-cvsp.com/publication/international-papers</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TPAMI'26] One paper has been accepted!, </w:t>
      </w:r>
      <w:hyperlink r:id="rId54">
        <w:r w:rsidDel="00000000" w:rsidR="00000000" w:rsidRPr="00000000">
          <w:rPr>
            <w:rFonts w:ascii="Google Sans" w:cs="Google Sans" w:eastAsia="Google Sans" w:hAnsi="Google Sans"/>
            <w:color w:val="0000ee"/>
            <w:sz w:val="24"/>
            <w:szCs w:val="24"/>
            <w:u w:val="single"/>
            <w:rtl w:val="0"/>
          </w:rPr>
          <w:t xml:space="preserve">https://ami.kaist.ac.kr/2f8fdae6-c854-8097-82d4-eb35209085a5</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Jinwoo Choi, </w:t>
      </w:r>
      <w:hyperlink r:id="rId55">
        <w:r w:rsidDel="00000000" w:rsidR="00000000" w:rsidRPr="00000000">
          <w:rPr>
            <w:rFonts w:ascii="Google Sans" w:cs="Google Sans" w:eastAsia="Google Sans" w:hAnsi="Google Sans"/>
            <w:color w:val="0000ee"/>
            <w:sz w:val="24"/>
            <w:szCs w:val="24"/>
            <w:u w:val="single"/>
            <w:rtl w:val="0"/>
          </w:rPr>
          <w:t xml:space="preserve">https://sites.google.com/site/jchoivision/</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Paper Ready for IEEE TPAMI? A Readiness Check, </w:t>
      </w:r>
      <w:hyperlink r:id="rId56">
        <w:r w:rsidDel="00000000" w:rsidR="00000000" w:rsidRPr="00000000">
          <w:rPr>
            <w:rFonts w:ascii="Google Sans" w:cs="Google Sans" w:eastAsia="Google Sans" w:hAnsi="Google Sans"/>
            <w:color w:val="0000ee"/>
            <w:sz w:val="24"/>
            <w:szCs w:val="24"/>
            <w:u w:val="single"/>
            <w:rtl w:val="0"/>
          </w:rPr>
          <w:t xml:space="preserve">https://manusights.com/blog/is-my-paper-ready-for-ieee-transactions-on-pattern-analysis-and-machine-intelligence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Transactions on Pattern Analysis and Machine Intelligence, </w:t>
      </w:r>
      <w:hyperlink r:id="rId57">
        <w:r w:rsidDel="00000000" w:rsidR="00000000" w:rsidRPr="00000000">
          <w:rPr>
            <w:rFonts w:ascii="Google Sans" w:cs="Google Sans" w:eastAsia="Google Sans" w:hAnsi="Google Sans"/>
            <w:color w:val="0000ee"/>
            <w:sz w:val="24"/>
            <w:szCs w:val="24"/>
            <w:u w:val="single"/>
            <w:rtl w:val="0"/>
          </w:rPr>
          <w:t xml:space="preserve">https://scispace.com/journals/ieee-transactions-on-pattern-analysis-and-machine-3qetrrfv</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Rejected from IEEE TPAMI? The 6 Best Venues to Submit Next, </w:t>
      </w:r>
      <w:hyperlink r:id="rId58">
        <w:r w:rsidDel="00000000" w:rsidR="00000000" w:rsidRPr="00000000">
          <w:rPr>
            <w:rFonts w:ascii="Google Sans" w:cs="Google Sans" w:eastAsia="Google Sans" w:hAnsi="Google Sans"/>
            <w:color w:val="0000ee"/>
            <w:sz w:val="24"/>
            <w:szCs w:val="24"/>
            <w:u w:val="single"/>
            <w:rtl w:val="0"/>
          </w:rPr>
          <w:t xml:space="preserve">https://manusights.com/blog/rejected-from-ieee-transactions-on-pattern-analysis-and-machine-intelligence-where-next</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TPAMI Cover Letter: Template and Guide 2026 - Manusights, </w:t>
      </w:r>
      <w:hyperlink r:id="rId59">
        <w:r w:rsidDel="00000000" w:rsidR="00000000" w:rsidRPr="00000000">
          <w:rPr>
            <w:rFonts w:ascii="Google Sans" w:cs="Google Sans" w:eastAsia="Google Sans" w:hAnsi="Google Sans"/>
            <w:color w:val="0000ee"/>
            <w:sz w:val="24"/>
            <w:szCs w:val="24"/>
            <w:u w:val="single"/>
            <w:rtl w:val="0"/>
          </w:rPr>
          <w:t xml:space="preserve">https://manusights.com/blog/ieee-transactions-on-pattern-analysis-and-machine-intelligence-cover-letter</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Shifting the Breaking Point of Flow Matching for Multi-Instance Editing, </w:t>
      </w:r>
      <w:hyperlink r:id="rId60">
        <w:r w:rsidDel="00000000" w:rsidR="00000000" w:rsidRPr="00000000">
          <w:rPr>
            <w:rFonts w:ascii="Google Sans" w:cs="Google Sans" w:eastAsia="Google Sans" w:hAnsi="Google Sans"/>
            <w:color w:val="0000ee"/>
            <w:sz w:val="24"/>
            <w:szCs w:val="24"/>
            <w:u w:val="single"/>
            <w:rtl w:val="0"/>
          </w:rPr>
          <w:t xml:space="preserve">https://openreview.net/forum?id=n2An7C7n7e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the 2014 NeurIPS Experiment - arXiv, </w:t>
      </w:r>
      <w:hyperlink r:id="rId61">
        <w:r w:rsidDel="00000000" w:rsidR="00000000" w:rsidRPr="00000000">
          <w:rPr>
            <w:rFonts w:ascii="Google Sans" w:cs="Google Sans" w:eastAsia="Google Sans" w:hAnsi="Google Sans"/>
            <w:color w:val="0000ee"/>
            <w:sz w:val="24"/>
            <w:szCs w:val="24"/>
            <w:u w:val="single"/>
            <w:rtl w:val="0"/>
          </w:rPr>
          <w:t xml:space="preserve">https://arxiv.org/pdf/2109.09774</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Mamba-Adaptor: State Space Model Adaptor for Visual Recognition, </w:t>
      </w:r>
      <w:hyperlink r:id="rId62">
        <w:r w:rsidDel="00000000" w:rsidR="00000000" w:rsidRPr="00000000">
          <w:rPr>
            <w:rFonts w:ascii="Google Sans" w:cs="Google Sans" w:eastAsia="Google Sans" w:hAnsi="Google Sans"/>
            <w:color w:val="0000ee"/>
            <w:sz w:val="24"/>
            <w:szCs w:val="24"/>
            <w:u w:val="single"/>
            <w:rtl w:val="0"/>
          </w:rPr>
          <w:t xml:space="preserve">https://cvpr.thecvf.com/virtual/2025/poster/34117</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DAMamba: Vision State Space Model with Dynamic Adaptive Scan, </w:t>
      </w:r>
      <w:hyperlink r:id="rId63">
        <w:r w:rsidDel="00000000" w:rsidR="00000000" w:rsidRPr="00000000">
          <w:rPr>
            <w:rFonts w:ascii="Google Sans" w:cs="Google Sans" w:eastAsia="Google Sans" w:hAnsi="Google Sans"/>
            <w:color w:val="0000ee"/>
            <w:sz w:val="24"/>
            <w:szCs w:val="24"/>
            <w:u w:val="single"/>
            <w:rtl w:val="0"/>
          </w:rPr>
          <w:t xml:space="preserve">https://neurips.cc/virtual/2025/poster/118629</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PAT-Mamba: Adaptive all-in-one image restoration for photoacoustic,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https://pmc.ncbi.nlm.nih.gov/articles/PMC13199962/</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All-in-One Image Restoration: Taxonomy, Evaluation, </w:t>
      </w:r>
      <w:hyperlink r:id="rId65">
        <w:r w:rsidDel="00000000" w:rsidR="00000000" w:rsidRPr="00000000">
          <w:rPr>
            <w:rFonts w:ascii="Google Sans" w:cs="Google Sans" w:eastAsia="Google Sans" w:hAnsi="Google Sans"/>
            <w:color w:val="0000ee"/>
            <w:sz w:val="24"/>
            <w:szCs w:val="24"/>
            <w:u w:val="single"/>
            <w:rtl w:val="0"/>
          </w:rPr>
          <w:t xml:space="preserve">https://arxiv.org/html/2410.15067v1</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Degradation-Aware Residual-Conditioned Optimal Transport ... - arXiv, </w:t>
      </w:r>
      <w:hyperlink r:id="rId66">
        <w:r w:rsidDel="00000000" w:rsidR="00000000" w:rsidRPr="00000000">
          <w:rPr>
            <w:rFonts w:ascii="Google Sans" w:cs="Google Sans" w:eastAsia="Google Sans" w:hAnsi="Google Sans"/>
            <w:color w:val="0000ee"/>
            <w:sz w:val="24"/>
            <w:szCs w:val="24"/>
            <w:u w:val="single"/>
            <w:rtl w:val="0"/>
          </w:rPr>
          <w:t xml:space="preserve">https://arxiv.org/html/2411.01656v1</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Parameter-Efficient Fine-Tuning for Continual Learning: A Neural, </w:t>
      </w:r>
      <w:hyperlink r:id="rId67">
        <w:r w:rsidDel="00000000" w:rsidR="00000000" w:rsidRPr="00000000">
          <w:rPr>
            <w:rFonts w:ascii="Google Sans" w:cs="Google Sans" w:eastAsia="Google Sans" w:hAnsi="Google Sans"/>
            <w:color w:val="0000ee"/>
            <w:sz w:val="24"/>
            <w:szCs w:val="24"/>
            <w:u w:val="single"/>
            <w:rtl w:val="0"/>
          </w:rPr>
          <w:t xml:space="preserve">https://www.computer.org/csdl/journal/tp/2026/07/11423907/2eDJdqsm6Xe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L-GRU: A NOVEL HYBRID AI FRAMEWORK FOR IMPROVING TIME, </w:t>
      </w:r>
      <w:hyperlink r:id="rId68">
        <w:r w:rsidDel="00000000" w:rsidR="00000000" w:rsidRPr="00000000">
          <w:rPr>
            <w:rFonts w:ascii="Google Sans" w:cs="Google Sans" w:eastAsia="Google Sans" w:hAnsi="Google Sans"/>
            <w:color w:val="0000ee"/>
            <w:sz w:val="24"/>
            <w:szCs w:val="24"/>
            <w:u w:val="single"/>
            <w:rtl w:val="0"/>
          </w:rPr>
          <w:t xml:space="preserve">https://vjs.ac.vn/jcc/article/download/24220/2543256989</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 Task Risk Minimization in Meta-Learning From Theoretical, </w:t>
      </w:r>
      <w:hyperlink r:id="rId69">
        <w:r w:rsidDel="00000000" w:rsidR="00000000" w:rsidRPr="00000000">
          <w:rPr>
            <w:rFonts w:ascii="Google Sans" w:cs="Google Sans" w:eastAsia="Google Sans" w:hAnsi="Google Sans"/>
            <w:color w:val="0000ee"/>
            <w:sz w:val="24"/>
            <w:szCs w:val="24"/>
            <w:u w:val="single"/>
            <w:rtl w:val="0"/>
          </w:rPr>
          <w:t xml:space="preserve">https://www.computer.org/csdl/journal/tp/2026/07/11397197/2e9QNqiuuuk</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Instance-aware Prompt Tuning - arXiv, </w:t>
      </w:r>
      <w:hyperlink r:id="rId70">
        <w:r w:rsidDel="00000000" w:rsidR="00000000" w:rsidRPr="00000000">
          <w:rPr>
            <w:rFonts w:ascii="Google Sans" w:cs="Google Sans" w:eastAsia="Google Sans" w:hAnsi="Google Sans"/>
            <w:color w:val="0000ee"/>
            <w:sz w:val="24"/>
            <w:szCs w:val="24"/>
            <w:u w:val="single"/>
            <w:rtl w:val="0"/>
          </w:rPr>
          <w:t xml:space="preserve">https://arxiv.org/html/2507.07796v1</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Language-aware vision transformer for referring segmentation - ORA, </w:t>
      </w:r>
      <w:hyperlink r:id="rId71">
        <w:r w:rsidDel="00000000" w:rsidR="00000000" w:rsidRPr="00000000">
          <w:rPr>
            <w:rFonts w:ascii="Google Sans" w:cs="Google Sans" w:eastAsia="Google Sans" w:hAnsi="Google Sans"/>
            <w:color w:val="0000ee"/>
            <w:sz w:val="24"/>
            <w:szCs w:val="24"/>
            <w:u w:val="single"/>
            <w:rtl w:val="0"/>
          </w:rPr>
          <w:t xml:space="preserve">https://ora.ox.ac.uk/objects/uuid:3b9da0a1-9ba9-41f3-98ee-d1e6fa3ce3dc</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IMAGE RESTORATION PRE-TRAINING VIA, </w:t>
      </w:r>
      <w:hyperlink r:id="rId72">
        <w:r w:rsidDel="00000000" w:rsidR="00000000" w:rsidRPr="00000000">
          <w:rPr>
            <w:rFonts w:ascii="Google Sans" w:cs="Google Sans" w:eastAsia="Google Sans" w:hAnsi="Google Sans"/>
            <w:color w:val="0000ee"/>
            <w:sz w:val="24"/>
            <w:szCs w:val="24"/>
            <w:u w:val="single"/>
            <w:rtl w:val="0"/>
          </w:rPr>
          <w:t xml:space="preserve">https://proceedings.iclr.cc/paper_files/paper/2025/file/a2899d8c4b5bb27318e19bd6d9934764-Paper-Conference.pdf</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CEB-KD_PHASE2_KAGGLE, </w:t>
      </w:r>
      <w:hyperlink r:id="rId73">
        <w:r w:rsidDel="00000000" w:rsidR="00000000" w:rsidRPr="00000000">
          <w:rPr>
            <w:rFonts w:ascii="Google Sans" w:cs="Google Sans" w:eastAsia="Google Sans" w:hAnsi="Google Sans"/>
            <w:color w:val="0000ee"/>
            <w:sz w:val="24"/>
            <w:szCs w:val="24"/>
            <w:u w:val="single"/>
            <w:rtl w:val="0"/>
          </w:rPr>
          <w:t xml:space="preserve">https://www.kaggle.com/datasets/shanmuk4622kk/ceb-kd-phase2-kaggle</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Masked Autoencoder (MAE) from Scratch - Medium, </w:t>
      </w:r>
      <w:hyperlink r:id="rId74">
        <w:r w:rsidDel="00000000" w:rsidR="00000000" w:rsidRPr="00000000">
          <w:rPr>
            <w:rFonts w:ascii="Google Sans" w:cs="Google Sans" w:eastAsia="Google Sans" w:hAnsi="Google Sans"/>
            <w:color w:val="0000ee"/>
            <w:sz w:val="24"/>
            <w:szCs w:val="24"/>
            <w:u w:val="single"/>
            <w:rtl w:val="0"/>
          </w:rPr>
          <w:t xml:space="preserve">https://medium.com/@tayyabshabaz1234/building-a-masked-autoencoder-mae-from-scratch-teaching-ai-to-see-the-unseen-2555de1f5351</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adaptive-sparse-training/IMAGENET100_TROUBLESHOOTING.md, </w:t>
      </w:r>
      <w:hyperlink r:id="rId75">
        <w:r w:rsidDel="00000000" w:rsidR="00000000" w:rsidRPr="00000000">
          <w:rPr>
            <w:rFonts w:ascii="Google Sans" w:cs="Google Sans" w:eastAsia="Google Sans" w:hAnsi="Google Sans"/>
            <w:color w:val="0000ee"/>
            <w:sz w:val="24"/>
            <w:szCs w:val="24"/>
            <w:u w:val="single"/>
            <w:rtl w:val="0"/>
          </w:rPr>
          <w:t xml:space="preserve">https://github.com/oluwafemidiakhoa/adaptive-sparse-training/blob/main/IMAGENET100_TROUBLESHOOTING.md</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notebooks/laya_finetune_typed_decisions_2xT4_kaggle.ipynb, </w:t>
      </w:r>
      <w:hyperlink r:id="rId76">
        <w:r w:rsidDel="00000000" w:rsidR="00000000" w:rsidRPr="00000000">
          <w:rPr>
            <w:rFonts w:ascii="Google Sans" w:cs="Google Sans" w:eastAsia="Google Sans" w:hAnsi="Google Sans"/>
            <w:color w:val="0000ee"/>
            <w:sz w:val="24"/>
            <w:szCs w:val="24"/>
            <w:u w:val="single"/>
            <w:rtl w:val="0"/>
          </w:rPr>
          <w:t xml:space="preserve">https://huggingface.co/Snugasabug/laya-finetuned-rlcd/blob/e4cdad038de9e12b772e261ffaa983083ca5bf21/notebooks/laya_finetune_typed_decisions_2xT4_kaggle.ipynb</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notebookc1590d1308 - Kaggle, </w:t>
      </w:r>
      <w:hyperlink r:id="rId77">
        <w:r w:rsidDel="00000000" w:rsidR="00000000" w:rsidRPr="00000000">
          <w:rPr>
            <w:rFonts w:ascii="Google Sans" w:cs="Google Sans" w:eastAsia="Google Sans" w:hAnsi="Google Sans"/>
            <w:color w:val="0000ee"/>
            <w:sz w:val="24"/>
            <w:szCs w:val="24"/>
            <w:u w:val="single"/>
            <w:rtl w:val="0"/>
          </w:rPr>
          <w:t xml:space="preserve">https://www.kaggle.com/code/kemasaivedhamsh/notebookc1590d1308</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DHVT: Dynamic Hybrid Vision Transformer for Small Dataset, </w:t>
      </w:r>
      <w:hyperlink r:id="rId78">
        <w:r w:rsidDel="00000000" w:rsidR="00000000" w:rsidRPr="00000000">
          <w:rPr>
            <w:rFonts w:ascii="Google Sans" w:cs="Google Sans" w:eastAsia="Google Sans" w:hAnsi="Google Sans"/>
            <w:color w:val="0000ee"/>
            <w:sz w:val="24"/>
            <w:szCs w:val="24"/>
            <w:u w:val="single"/>
            <w:rtl w:val="0"/>
          </w:rPr>
          <w:t xml:space="preserve">https://www.computer.org/csdl/journal/tp/2025/04/10836856/23oDN1tQvfi</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Image Calculator: 10x Faster Image-AI Inference ... - OpenReview, </w:t>
      </w:r>
      <w:hyperlink r:id="rId79">
        <w:r w:rsidDel="00000000" w:rsidR="00000000" w:rsidRPr="00000000">
          <w:rPr>
            <w:rFonts w:ascii="Google Sans" w:cs="Google Sans" w:eastAsia="Google Sans" w:hAnsi="Google Sans"/>
            <w:color w:val="0000ee"/>
            <w:sz w:val="24"/>
            <w:szCs w:val="24"/>
            <w:u w:val="single"/>
            <w:rtl w:val="0"/>
          </w:rPr>
          <w:t xml:space="preserve">https://openreview.net/pdf/2dca87237a8f9d78f23a6f46ae7155dd75c02038.pdf</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2026] Will you be submitting your code alongside ... - Reddit, </w:t>
      </w:r>
      <w:hyperlink r:id="rId80">
        <w:r w:rsidDel="00000000" w:rsidR="00000000" w:rsidRPr="00000000">
          <w:rPr>
            <w:rFonts w:ascii="Google Sans" w:cs="Google Sans" w:eastAsia="Google Sans" w:hAnsi="Google Sans"/>
            <w:color w:val="0000ee"/>
            <w:sz w:val="24"/>
            <w:szCs w:val="24"/>
            <w:u w:val="single"/>
            <w:rtl w:val="0"/>
          </w:rPr>
          <w:t xml:space="preserve">https://www.reddit.com/r/MachineLearning/comments/1ss12tp/neurips_2026_will_you_be_submitting_your_code/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Explicit Visual Prompting for Universal Foreground Segmentations, </w:t>
      </w:r>
      <w:hyperlink r:id="rId81">
        <w:r w:rsidDel="00000000" w:rsidR="00000000" w:rsidRPr="00000000">
          <w:rPr>
            <w:rFonts w:ascii="Google Sans" w:cs="Google Sans" w:eastAsia="Google Sans" w:hAnsi="Google Sans"/>
            <w:color w:val="0000ee"/>
            <w:sz w:val="24"/>
            <w:szCs w:val="24"/>
            <w:u w:val="single"/>
            <w:rtl w:val="0"/>
          </w:rPr>
          <w:t xml:space="preserve">https://www.opentrain.ai/papers/explicit-visual-prompting-for-universal-foreground-segmentations--arxiv-2305.18476/</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xl-tang3/DA-RCOT: (TPAMI 2025) Degradation-Aware, </w:t>
      </w:r>
      <w:hyperlink r:id="rId82">
        <w:r w:rsidDel="00000000" w:rsidR="00000000" w:rsidRPr="00000000">
          <w:rPr>
            <w:rFonts w:ascii="Google Sans" w:cs="Google Sans" w:eastAsia="Google Sans" w:hAnsi="Google Sans"/>
            <w:color w:val="0000ee"/>
            <w:sz w:val="24"/>
            <w:szCs w:val="24"/>
            <w:u w:val="single"/>
            <w:rtl w:val="0"/>
          </w:rPr>
          <w:t xml:space="preserve">https://github.com/xl-tang3/DA-RCOT</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2023 &amp; TPAMI 2025] Explicit Visual Prompting for Low-Level, </w:t>
      </w:r>
      <w:hyperlink r:id="rId83">
        <w:r w:rsidDel="00000000" w:rsidR="00000000" w:rsidRPr="00000000">
          <w:rPr>
            <w:rFonts w:ascii="Google Sans" w:cs="Google Sans" w:eastAsia="Google Sans" w:hAnsi="Google Sans"/>
            <w:color w:val="0000ee"/>
            <w:sz w:val="24"/>
            <w:szCs w:val="24"/>
            <w:u w:val="single"/>
            <w:rtl w:val="0"/>
          </w:rPr>
          <w:t xml:space="preserve">https://github.com/nifangbaage/explicit-visual-prompt</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 SSM model as alternative to the transformers, </w:t>
      </w:r>
      <w:hyperlink r:id="rId84">
        <w:r w:rsidDel="00000000" w:rsidR="00000000" w:rsidRPr="00000000">
          <w:rPr>
            <w:rFonts w:ascii="Google Sans" w:cs="Google Sans" w:eastAsia="Google Sans" w:hAnsi="Google Sans"/>
            <w:color w:val="0000ee"/>
            <w:sz w:val="24"/>
            <w:szCs w:val="24"/>
            <w:u w:val="single"/>
            <w:rtl w:val="0"/>
          </w:rPr>
          <w:t xml:space="preserve">https://www.redalyc.org/journal/5722/572284328013/html/</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Mamba Architectures - Emergent Mind, </w:t>
      </w:r>
      <w:hyperlink r:id="rId85">
        <w:r w:rsidDel="00000000" w:rsidR="00000000" w:rsidRPr="00000000">
          <w:rPr>
            <w:rFonts w:ascii="Google Sans" w:cs="Google Sans" w:eastAsia="Google Sans" w:hAnsi="Google Sans"/>
            <w:color w:val="0000ee"/>
            <w:sz w:val="24"/>
            <w:szCs w:val="24"/>
            <w:u w:val="single"/>
            <w:rtl w:val="0"/>
          </w:rPr>
          <w:t xml:space="preserve">https://www.emergentmind.com/topics/vision-mamba-architectures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SpectMamba: Integrating Frequency and State Space Models ... - arXiv, </w:t>
      </w:r>
      <w:hyperlink r:id="rId86">
        <w:r w:rsidDel="00000000" w:rsidR="00000000" w:rsidRPr="00000000">
          <w:rPr>
            <w:rFonts w:ascii="Google Sans" w:cs="Google Sans" w:eastAsia="Google Sans" w:hAnsi="Google Sans"/>
            <w:color w:val="0000ee"/>
            <w:sz w:val="24"/>
            <w:szCs w:val="24"/>
            <w:u w:val="single"/>
            <w:rtl w:val="0"/>
          </w:rPr>
          <w:t xml:space="preserve">https://arxiv.org/pdf/2509.01080</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Multi-Scale Mamba with Frequency and Semantics, </w:t>
      </w:r>
      <w:hyperlink r:id="rId87">
        <w:r w:rsidDel="00000000" w:rsidR="00000000" w:rsidRPr="00000000">
          <w:rPr>
            <w:rFonts w:ascii="Google Sans" w:cs="Google Sans" w:eastAsia="Google Sans" w:hAnsi="Google Sans"/>
            <w:color w:val="0000ee"/>
            <w:sz w:val="24"/>
            <w:szCs w:val="24"/>
            <w:u w:val="single"/>
            <w:rtl w:val="0"/>
          </w:rPr>
          <w:t xml:space="preserve">https://www.mdpi.com/2072-4292/18/13/2207</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Mamba: Bidirectional State Space Models for Efficient Visual, </w:t>
      </w:r>
      <w:hyperlink r:id="rId88">
        <w:r w:rsidDel="00000000" w:rsidR="00000000" w:rsidRPr="00000000">
          <w:rPr>
            <w:rFonts w:ascii="Google Sans" w:cs="Google Sans" w:eastAsia="Google Sans" w:hAnsi="Google Sans"/>
            <w:color w:val="0000ee"/>
            <w:sz w:val="24"/>
            <w:szCs w:val="24"/>
            <w:u w:val="single"/>
            <w:rtl w:val="0"/>
          </w:rPr>
          <w:t xml:space="preserve">https://www.reddit.com/r/ArtificialInteligence/comments/1gs09tb/vision_mamba_bidirectional_state_space_models_for/</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Vision Mamba: Efficient Visual Representation Learning with, </w:t>
      </w:r>
      <w:hyperlink r:id="rId89">
        <w:r w:rsidDel="00000000" w:rsidR="00000000" w:rsidRPr="00000000">
          <w:rPr>
            <w:rFonts w:ascii="Google Sans" w:cs="Google Sans" w:eastAsia="Google Sans" w:hAnsi="Google Sans"/>
            <w:color w:val="0000ee"/>
            <w:sz w:val="24"/>
            <w:szCs w:val="24"/>
            <w:u w:val="single"/>
            <w:rtl w:val="0"/>
          </w:rPr>
          <w:t xml:space="preserve">https://www.semanticscholar.org/paper/Vision-Mamba%3A-Efficient-Visual-Representation-with-Zhu-Liao/38c48a1cd296d16dc9c56717495d6e44cc354444</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Travelling Salesman Problem Meets Mamba for Image Super, </w:t>
      </w:r>
      <w:hyperlink r:id="rId90">
        <w:r w:rsidDel="00000000" w:rsidR="00000000" w:rsidRPr="00000000">
          <w:rPr>
            <w:rFonts w:ascii="Google Sans" w:cs="Google Sans" w:eastAsia="Google Sans" w:hAnsi="Google Sans"/>
            <w:color w:val="0000ee"/>
            <w:sz w:val="24"/>
            <w:szCs w:val="24"/>
            <w:u w:val="single"/>
            <w:rtl w:val="0"/>
          </w:rPr>
          <w:t xml:space="preserve">https://openaccess.thecvf.com/content/CVPR2025/papers/Zhou_TSP-Mamba_The_Travelling_Salesman_Problem_Meets_Mamba_for_Image_Super-resolution_CVPR_2025_paper.pdf</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Baseline for Image Restoration with State-Space Model, </w:t>
      </w:r>
      <w:hyperlink r:id="rId91">
        <w:r w:rsidDel="00000000" w:rsidR="00000000" w:rsidRPr="00000000">
          <w:rPr>
            <w:rFonts w:ascii="Google Sans" w:cs="Google Sans" w:eastAsia="Google Sans" w:hAnsi="Google Sans"/>
            <w:color w:val="0000ee"/>
            <w:sz w:val="24"/>
            <w:szCs w:val="24"/>
            <w:u w:val="single"/>
            <w:rtl w:val="0"/>
          </w:rPr>
          <w:t xml:space="preserve">https://www.researchgate.net/publication/384462530_MambaIR_A_Simple_Baseline_for_Image_Restoration_with_State-Space_Model</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csguoh/Awesome-Mamba-in-Low-Level-Vision - GitHub, </w:t>
      </w:r>
      <w:hyperlink r:id="rId92">
        <w:r w:rsidDel="00000000" w:rsidR="00000000" w:rsidRPr="00000000">
          <w:rPr>
            <w:rFonts w:ascii="Google Sans" w:cs="Google Sans" w:eastAsia="Google Sans" w:hAnsi="Google Sans"/>
            <w:color w:val="0000ee"/>
            <w:sz w:val="24"/>
            <w:szCs w:val="24"/>
            <w:u w:val="single"/>
            <w:rtl w:val="0"/>
          </w:rPr>
          <w:t xml:space="preserve">https://github.com/csguoh/Awesome-Mamba-in-Low-Level-Vision</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Spatial Frequency Mamba for Efficient Image Restoration, </w:t>
      </w:r>
      <w:hyperlink r:id="rId93">
        <w:r w:rsidDel="00000000" w:rsidR="00000000" w:rsidRPr="00000000">
          <w:rPr>
            <w:rFonts w:ascii="Google Sans" w:cs="Google Sans" w:eastAsia="Google Sans" w:hAnsi="Google Sans"/>
            <w:color w:val="0000ee"/>
            <w:sz w:val="24"/>
            <w:szCs w:val="24"/>
            <w:u w:val="single"/>
            <w:rtl w:val="0"/>
          </w:rPr>
          <w:t xml:space="preserve">https://www.researchgate.net/publication/403903393_HSFM_Hybrid_Spatial_Frequency_Mamba_for_Efficient_Image_Restoration</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All-in-One Image Restoration: Taxonomy, Evaluation, </w:t>
      </w:r>
      <w:hyperlink r:id="rId94">
        <w:r w:rsidDel="00000000" w:rsidR="00000000" w:rsidRPr="00000000">
          <w:rPr>
            <w:rFonts w:ascii="Google Sans" w:cs="Google Sans" w:eastAsia="Google Sans" w:hAnsi="Google Sans"/>
            <w:color w:val="0000ee"/>
            <w:sz w:val="24"/>
            <w:szCs w:val="24"/>
            <w:u w:val="single"/>
            <w:rtl w:val="0"/>
          </w:rPr>
          <w:t xml:space="preserve">https://www.computer.org/csdl/journal/tp/2025/12/11123156/297KzuCS0GA</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Low-Level Vision Community-EntroVision, </w:t>
      </w:r>
      <w:hyperlink r:id="rId95">
        <w:r w:rsidDel="00000000" w:rsidR="00000000" w:rsidRPr="00000000">
          <w:rPr>
            <w:rFonts w:ascii="Google Sans" w:cs="Google Sans" w:eastAsia="Google Sans" w:hAnsi="Google Sans"/>
            <w:color w:val="0000ee"/>
            <w:sz w:val="24"/>
            <w:szCs w:val="24"/>
            <w:u w:val="single"/>
            <w:rtl w:val="0"/>
          </w:rPr>
          <w:t xml:space="preserve">https://lowlevelcv.com/en/</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Physical Degradation Models to Task-Aware All-in-One Image, </w:t>
      </w:r>
      <w:hyperlink r:id="rId96">
        <w:r w:rsidDel="00000000" w:rsidR="00000000" w:rsidRPr="00000000">
          <w:rPr>
            <w:rFonts w:ascii="Google Sans" w:cs="Google Sans" w:eastAsia="Google Sans" w:hAnsi="Google Sans"/>
            <w:color w:val="0000ee"/>
            <w:sz w:val="24"/>
            <w:szCs w:val="24"/>
            <w:u w:val="single"/>
            <w:rtl w:val="0"/>
          </w:rPr>
          <w:t xml:space="preserve">https://arxiv.org/html/2601.10192v1</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DEGRADATION-AGNOSTIC IMAGE RESTORA, </w:t>
      </w:r>
      <w:hyperlink r:id="rId97">
        <w:r w:rsidDel="00000000" w:rsidR="00000000" w:rsidRPr="00000000">
          <w:rPr>
            <w:rFonts w:ascii="Google Sans" w:cs="Google Sans" w:eastAsia="Google Sans" w:hAnsi="Google Sans"/>
            <w:color w:val="0000ee"/>
            <w:sz w:val="24"/>
            <w:szCs w:val="24"/>
            <w:u w:val="single"/>
            <w:rtl w:val="0"/>
          </w:rPr>
          <w:t xml:space="preserve">https://proceedings.iclr.cc/paper_files/paper/2026/file/cd1da8043ba5c1c144ab4e10a8de6e53-Paper-Conference.pdf</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Degradation-Aware Residual-Conditioned Optimal Transport for, </w:t>
      </w:r>
      <w:hyperlink r:id="rId98">
        <w:r w:rsidDel="00000000" w:rsidR="00000000" w:rsidRPr="00000000">
          <w:rPr>
            <w:rFonts w:ascii="Google Sans" w:cs="Google Sans" w:eastAsia="Google Sans" w:hAnsi="Google Sans"/>
            <w:color w:val="0000ee"/>
            <w:sz w:val="24"/>
            <w:szCs w:val="24"/>
            <w:u w:val="single"/>
            <w:rtl w:val="0"/>
          </w:rPr>
          <w:t xml:space="preserve">https://ieeexplore.ieee.org/document/10970105/</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Xiaole Tang xl-tang3 - GitHub, </w:t>
      </w:r>
      <w:hyperlink r:id="rId99">
        <w:r w:rsidDel="00000000" w:rsidR="00000000" w:rsidRPr="00000000">
          <w:rPr>
            <w:rFonts w:ascii="Google Sans" w:cs="Google Sans" w:eastAsia="Google Sans" w:hAnsi="Google Sans"/>
            <w:color w:val="0000ee"/>
            <w:sz w:val="24"/>
            <w:szCs w:val="24"/>
            <w:u w:val="single"/>
            <w:rtl w:val="0"/>
          </w:rPr>
          <w:t xml:space="preserve">https://github.com/xl-tang3</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Contrastive Prompt Learning for All-in-One Image Restoration, </w:t>
      </w:r>
      <w:hyperlink r:id="rId100">
        <w:r w:rsidDel="00000000" w:rsidR="00000000" w:rsidRPr="00000000">
          <w:rPr>
            <w:rFonts w:ascii="Google Sans" w:cs="Google Sans" w:eastAsia="Google Sans" w:hAnsi="Google Sans"/>
            <w:color w:val="0000ee"/>
            <w:sz w:val="24"/>
            <w:szCs w:val="24"/>
            <w:u w:val="single"/>
            <w:rtl w:val="0"/>
          </w:rPr>
          <w:t xml:space="preserve">https://scholar.hit.edu.cn/en/publications/beyond-degradation-redundancy-contrastive-prompt-learning-for-all/</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Human-Visual-Perception-Inspired All-in-One Image Restoration, </w:t>
      </w:r>
      <w:hyperlink r:id="rId101">
        <w:r w:rsidDel="00000000" w:rsidR="00000000" w:rsidRPr="00000000">
          <w:rPr>
            <w:rFonts w:ascii="Google Sans" w:cs="Google Sans" w:eastAsia="Google Sans" w:hAnsi="Google Sans"/>
            <w:color w:val="0000ee"/>
            <w:sz w:val="24"/>
            <w:szCs w:val="24"/>
            <w:u w:val="single"/>
            <w:rtl w:val="0"/>
          </w:rPr>
          <w:t xml:space="preserve">https://arxiv.org/html/2601.02763v2</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Transactions Pattern Analysis And Machine Intelligence, </w:t>
      </w:r>
      <w:hyperlink r:id="rId102">
        <w:r w:rsidDel="00000000" w:rsidR="00000000" w:rsidRPr="00000000">
          <w:rPr>
            <w:rFonts w:ascii="Google Sans" w:cs="Google Sans" w:eastAsia="Google Sans" w:hAnsi="Google Sans"/>
            <w:color w:val="0000ee"/>
            <w:sz w:val="24"/>
            <w:szCs w:val="24"/>
            <w:u w:val="single"/>
            <w:rtl w:val="0"/>
          </w:rPr>
          <w:t xml:space="preserve">https://sanandres.uep.edu.py/default.aspx/Toj3yf/701126/Ieee%20Transactions%20Pattern%20Analysis%20And%20Machine%20Intelligence.pdf</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Boosting All-in-One UAV Image Restoration via Degradation-Aware, </w:t>
      </w:r>
      <w:hyperlink r:id="rId103">
        <w:r w:rsidDel="00000000" w:rsidR="00000000" w:rsidRPr="00000000">
          <w:rPr>
            <w:rFonts w:ascii="Google Sans" w:cs="Google Sans" w:eastAsia="Google Sans" w:hAnsi="Google Sans"/>
            <w:color w:val="0000ee"/>
            <w:sz w:val="24"/>
            <w:szCs w:val="24"/>
            <w:u w:val="single"/>
            <w:rtl w:val="0"/>
          </w:rPr>
          <w:t xml:space="preserve">https://www.mdpi.com/2072-4292/18/2/354</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Spatially Variant Image Restoration for ... - MDPI, </w:t>
      </w:r>
      <w:hyperlink r:id="rId104">
        <w:r w:rsidDel="00000000" w:rsidR="00000000" w:rsidRPr="00000000">
          <w:rPr>
            <w:rFonts w:ascii="Google Sans" w:cs="Google Sans" w:eastAsia="Google Sans" w:hAnsi="Google Sans"/>
            <w:color w:val="0000ee"/>
            <w:sz w:val="24"/>
            <w:szCs w:val="24"/>
            <w:u w:val="single"/>
            <w:rtl w:val="0"/>
          </w:rPr>
          <w:t xml:space="preserve">https://www.mdpi.com/2072-4292/18/17/2934</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LDT: LAYER-DECOMPOSITION TRAINING MAKES NETWORKS, </w:t>
      </w:r>
      <w:hyperlink r:id="rId105">
        <w:r w:rsidDel="00000000" w:rsidR="00000000" w:rsidRPr="00000000">
          <w:rPr>
            <w:rFonts w:ascii="Google Sans" w:cs="Google Sans" w:eastAsia="Google Sans" w:hAnsi="Google Sans"/>
            <w:color w:val="0000ee"/>
            <w:sz w:val="24"/>
            <w:szCs w:val="24"/>
            <w:u w:val="single"/>
            <w:rtl w:val="0"/>
          </w:rPr>
          <w:t xml:space="preserve">https://proceedings.iclr.cc/paper_files/paper/2026/file/1b6a826220b7ce4d1ea4239f6dd356ac-Paper-Conference.pdf</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Parameter-Efficient Fine-Tuning for Foundation Models - arXiv, </w:t>
      </w:r>
      <w:hyperlink r:id="rId106">
        <w:r w:rsidDel="00000000" w:rsidR="00000000" w:rsidRPr="00000000">
          <w:rPr>
            <w:rFonts w:ascii="Google Sans" w:cs="Google Sans" w:eastAsia="Google Sans" w:hAnsi="Google Sans"/>
            <w:color w:val="0000ee"/>
            <w:sz w:val="24"/>
            <w:szCs w:val="24"/>
            <w:u w:val="single"/>
            <w:rtl w:val="0"/>
          </w:rPr>
          <w:t xml:space="preserve">https://arxiv.org/html/2501.13787v1</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VMT-Adapter: Parameter-Efficient Transfer Learning for Multi-Task, </w:t>
      </w:r>
      <w:hyperlink r:id="rId107">
        <w:r w:rsidDel="00000000" w:rsidR="00000000" w:rsidRPr="00000000">
          <w:rPr>
            <w:rFonts w:ascii="Google Sans" w:cs="Google Sans" w:eastAsia="Google Sans" w:hAnsi="Google Sans"/>
            <w:color w:val="0000ee"/>
            <w:sz w:val="24"/>
            <w:szCs w:val="24"/>
            <w:u w:val="single"/>
            <w:rtl w:val="0"/>
          </w:rPr>
          <w:t xml:space="preserve">https://ojs.aaai.org/index.php/AAAI/article/view/29541/30901</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SPMTrack: Spatio-Temporal Parameter-Efficient Fine-Tuning with, </w:t>
      </w:r>
      <w:hyperlink r:id="rId108">
        <w:r w:rsidDel="00000000" w:rsidR="00000000" w:rsidRPr="00000000">
          <w:rPr>
            <w:rFonts w:ascii="Google Sans" w:cs="Google Sans" w:eastAsia="Google Sans" w:hAnsi="Google Sans"/>
            <w:color w:val="0000ee"/>
            <w:sz w:val="24"/>
            <w:szCs w:val="24"/>
            <w:u w:val="single"/>
            <w:rtl w:val="0"/>
          </w:rPr>
          <w:t xml:space="preserve">https://openaccess.thecvf.com/content/CVPR2025/papers/Cai_SPMTrack_Spatio-Temporal_Parameter-Efficient_Fine-Tuning_with_Mixture_of_Experts_for_Scalable_CVPR_2025_paper.pdf</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DTL: Parameter- and Memory-Efficient Disentangled Vision Learning, </w:t>
      </w:r>
      <w:hyperlink r:id="rId109">
        <w:r w:rsidDel="00000000" w:rsidR="00000000" w:rsidRPr="00000000">
          <w:rPr>
            <w:rFonts w:ascii="Google Sans" w:cs="Google Sans" w:eastAsia="Google Sans" w:hAnsi="Google Sans"/>
            <w:color w:val="0000ee"/>
            <w:sz w:val="24"/>
            <w:szCs w:val="24"/>
            <w:u w:val="single"/>
            <w:rtl w:val="0"/>
          </w:rPr>
          <w:t xml:space="preserve">https://www.computer.org/csdl/journal/tp/2026/02/11186129/2asJRVVy3Ze</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General Framework for Parameter-Efficient Fine-Tuning - PubMed, </w:t>
      </w:r>
      <w:hyperlink r:id="rId110">
        <w:r w:rsidDel="00000000" w:rsidR="00000000" w:rsidRPr="00000000">
          <w:rPr>
            <w:rFonts w:ascii="Google Sans" w:cs="Google Sans" w:eastAsia="Google Sans" w:hAnsi="Google Sans"/>
            <w:color w:val="0000ee"/>
            <w:sz w:val="24"/>
            <w:szCs w:val="24"/>
            <w:u w:val="single"/>
            <w:rtl w:val="0"/>
          </w:rPr>
          <w:t xml:space="preserve">https://pubmed.ncbi.nlm.nih.gov/42550751/</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General Framework for Parameter-Efficient Fine-Tuning, </w:t>
      </w:r>
      <w:hyperlink r:id="rId111">
        <w:r w:rsidDel="00000000" w:rsidR="00000000" w:rsidRPr="00000000">
          <w:rPr>
            <w:rFonts w:ascii="Google Sans" w:cs="Google Sans" w:eastAsia="Google Sans" w:hAnsi="Google Sans"/>
            <w:color w:val="0000ee"/>
            <w:sz w:val="24"/>
            <w:szCs w:val="24"/>
            <w:u w:val="single"/>
            <w:rtl w:val="0"/>
          </w:rPr>
          <w:t xml:space="preserve">https://www.researchgate.net/publication/411281319_Triplet_Decomposition_and_Extensions_A_General_Framework_for_Parameter-Efficient_Fine-Tuning</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Adaptation of Foundation Models With Black-Box Visual, </w:t>
      </w:r>
      <w:hyperlink r:id="rId112">
        <w:r w:rsidDel="00000000" w:rsidR="00000000" w:rsidRPr="00000000">
          <w:rPr>
            <w:rFonts w:ascii="Google Sans" w:cs="Google Sans" w:eastAsia="Google Sans" w:hAnsi="Google Sans"/>
            <w:color w:val="0000ee"/>
            <w:sz w:val="24"/>
            <w:szCs w:val="24"/>
            <w:u w:val="single"/>
            <w:rtl w:val="0"/>
          </w:rPr>
          <w:t xml:space="preserve">https://www.computer.org/csdl/journal/tp/2026/08/11475202/2fuLTqYCgxO</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Parameter-Efficient Fine-Tuning Methods for Pretrained Language, </w:t>
      </w:r>
      <w:hyperlink r:id="rId113">
        <w:r w:rsidDel="00000000" w:rsidR="00000000" w:rsidRPr="00000000">
          <w:rPr>
            <w:rFonts w:ascii="Google Sans" w:cs="Google Sans" w:eastAsia="Google Sans" w:hAnsi="Google Sans"/>
            <w:color w:val="0000ee"/>
            <w:sz w:val="24"/>
            <w:szCs w:val="24"/>
            <w:u w:val="single"/>
            <w:rtl w:val="0"/>
          </w:rPr>
          <w:t xml:space="preserve">https://ieeexplore.ieee.org/iel8/34/4359286/11364256.pdf</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 OpenReview, </w:t>
      </w:r>
      <w:hyperlink r:id="rId114">
        <w:r w:rsidDel="00000000" w:rsidR="00000000" w:rsidRPr="00000000">
          <w:rPr>
            <w:rFonts w:ascii="Google Sans" w:cs="Google Sans" w:eastAsia="Google Sans" w:hAnsi="Google Sans"/>
            <w:color w:val="0000ee"/>
            <w:sz w:val="24"/>
            <w:szCs w:val="24"/>
            <w:u w:val="single"/>
            <w:rtl w:val="0"/>
          </w:rPr>
          <w:t xml:space="preserve">https://openreview.net/search?term=~Jihun_Hamm2&amp;content=authors&amp;group=all&amp;source=forum&amp;sort=cdate:desc</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yunbeizhang/Awesome-Visual-Prompt-Tuning: [TMLR] A, </w:t>
      </w:r>
      <w:hyperlink r:id="rId115">
        <w:r w:rsidDel="00000000" w:rsidR="00000000" w:rsidRPr="00000000">
          <w:rPr>
            <w:rFonts w:ascii="Google Sans" w:cs="Google Sans" w:eastAsia="Google Sans" w:hAnsi="Google Sans"/>
            <w:color w:val="0000ee"/>
            <w:sz w:val="24"/>
            <w:szCs w:val="24"/>
            <w:u w:val="single"/>
            <w:rtl w:val="0"/>
          </w:rPr>
          <w:t xml:space="preserve">https://github.com/yunbeizhang/Awesome-Visual-Prompt-Tuning</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CUHK-AIM-Group/Light-UNETR: [TPAMI' 2025] Harnessing, </w:t>
      </w:r>
      <w:hyperlink r:id="rId116">
        <w:r w:rsidDel="00000000" w:rsidR="00000000" w:rsidRPr="00000000">
          <w:rPr>
            <w:rFonts w:ascii="Google Sans" w:cs="Google Sans" w:eastAsia="Google Sans" w:hAnsi="Google Sans"/>
            <w:color w:val="0000ee"/>
            <w:sz w:val="24"/>
            <w:szCs w:val="24"/>
            <w:u w:val="single"/>
            <w:rtl w:val="0"/>
          </w:rPr>
          <w:t xml:space="preserve">https://github.com/CUHK-AIM-Group/Light-UNETR</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Visual Transformer by Learnable Token Merging - PubMed, </w:t>
      </w:r>
      <w:hyperlink r:id="rId117">
        <w:r w:rsidDel="00000000" w:rsidR="00000000" w:rsidRPr="00000000">
          <w:rPr>
            <w:rFonts w:ascii="Google Sans" w:cs="Google Sans" w:eastAsia="Google Sans" w:hAnsi="Google Sans"/>
            <w:color w:val="0000ee"/>
            <w:sz w:val="24"/>
            <w:szCs w:val="24"/>
            <w:u w:val="single"/>
            <w:rtl w:val="0"/>
          </w:rPr>
          <w:t xml:space="preserve">https://pubmed.ncbi.nlm.nih.gov/40663671/</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Expediting Large-Scale Vision Transformer for Dense Prediction, </w:t>
      </w:r>
      <w:hyperlink r:id="rId118">
        <w:r w:rsidDel="00000000" w:rsidR="00000000" w:rsidRPr="00000000">
          <w:rPr>
            <w:rFonts w:ascii="Google Sans" w:cs="Google Sans" w:eastAsia="Google Sans" w:hAnsi="Google Sans"/>
            <w:color w:val="0000ee"/>
            <w:sz w:val="24"/>
            <w:szCs w:val="24"/>
            <w:u w:val="single"/>
            <w:rtl w:val="0"/>
          </w:rPr>
          <w:t xml:space="preserve">http://ieeexplore.ieee.org/document/10296029/</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MMLab@NTU, </w:t>
      </w:r>
      <w:hyperlink r:id="rId119">
        <w:r w:rsidDel="00000000" w:rsidR="00000000" w:rsidRPr="00000000">
          <w:rPr>
            <w:rFonts w:ascii="Google Sans" w:cs="Google Sans" w:eastAsia="Google Sans" w:hAnsi="Google Sans"/>
            <w:color w:val="0000ee"/>
            <w:sz w:val="24"/>
            <w:szCs w:val="24"/>
            <w:u w:val="single"/>
            <w:rtl w:val="0"/>
          </w:rPr>
          <w:t xml:space="preserve">https://www.mmlab-ntu.com/publication_year.html</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Transactions Pattern Analysis And Machine Intelligence, </w:t>
      </w:r>
      <w:hyperlink r:id="rId120">
        <w:r w:rsidDel="00000000" w:rsidR="00000000" w:rsidRPr="00000000">
          <w:rPr>
            <w:rFonts w:ascii="Google Sans" w:cs="Google Sans" w:eastAsia="Google Sans" w:hAnsi="Google Sans"/>
            <w:color w:val="0000ee"/>
            <w:sz w:val="24"/>
            <w:szCs w:val="24"/>
            <w:u w:val="single"/>
            <w:rtl w:val="0"/>
          </w:rPr>
          <w:t xml:space="preserve">https://sanandres.uep.edu.py/index.jsp/Toj3yf/701126/Ieee%20Transactions%20Pattern%20Analysis%20And%20Machine%20Intelligence.pdf</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MLO @ CityU, </w:t>
      </w:r>
      <w:hyperlink r:id="rId121">
        <w:r w:rsidDel="00000000" w:rsidR="00000000" w:rsidRPr="00000000">
          <w:rPr>
            <w:rFonts w:ascii="Google Sans" w:cs="Google Sans" w:eastAsia="Google Sans" w:hAnsi="Google Sans"/>
            <w:color w:val="0000ee"/>
            <w:sz w:val="24"/>
            <w:szCs w:val="24"/>
            <w:u w:val="single"/>
            <w:rtl w:val="0"/>
          </w:rPr>
          <w:t xml:space="preserve">https://www.cs.cityu.edu.hk/~cliu644/HomePage/publication.html</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Slack Federated Adversarial Training - IEEE Xplore, </w:t>
      </w:r>
      <w:hyperlink r:id="rId122">
        <w:r w:rsidDel="00000000" w:rsidR="00000000" w:rsidRPr="00000000">
          <w:rPr>
            <w:rFonts w:ascii="Google Sans" w:cs="Google Sans" w:eastAsia="Google Sans" w:hAnsi="Google Sans"/>
            <w:color w:val="0000ee"/>
            <w:sz w:val="24"/>
            <w:szCs w:val="24"/>
            <w:u w:val="single"/>
            <w:rtl w:val="0"/>
          </w:rPr>
          <w:t xml:space="preserve">https://ieeexplore.ieee.org/iel8/34/4359286/11311342.pdf</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LoRASculpt: Harmonious Low-Rank Adaptation for Multimodal, </w:t>
      </w:r>
      <w:hyperlink r:id="rId123">
        <w:r w:rsidDel="00000000" w:rsidR="00000000" w:rsidRPr="00000000">
          <w:rPr>
            <w:rFonts w:ascii="Google Sans" w:cs="Google Sans" w:eastAsia="Google Sans" w:hAnsi="Google Sans"/>
            <w:color w:val="0000ee"/>
            <w:sz w:val="24"/>
            <w:szCs w:val="24"/>
            <w:u w:val="single"/>
            <w:rtl w:val="0"/>
          </w:rPr>
          <w:t xml:space="preserve">https://www.computer.org/csdl/journal/tp/2026/10/11579476/2hBT8nGLRL2</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White-Box Prompt Transformers: Variationally Grounded, </w:t>
      </w:r>
      <w:hyperlink r:id="rId124">
        <w:r w:rsidDel="00000000" w:rsidR="00000000" w:rsidRPr="00000000">
          <w:rPr>
            <w:rFonts w:ascii="Google Sans" w:cs="Google Sans" w:eastAsia="Google Sans" w:hAnsi="Google Sans"/>
            <w:color w:val="0000ee"/>
            <w:sz w:val="24"/>
            <w:szCs w:val="24"/>
            <w:u w:val="single"/>
            <w:rtl w:val="0"/>
          </w:rPr>
          <w:t xml:space="preserve">https://openreview.net/forum?id=ZkfQikqVI5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png"/><Relationship Id="rId41" Type="http://schemas.openxmlformats.org/officeDocument/2006/relationships/image" Target="media/image8.png"/><Relationship Id="rId44" Type="http://schemas.openxmlformats.org/officeDocument/2006/relationships/image" Target="media/image9.png"/><Relationship Id="rId43" Type="http://schemas.openxmlformats.org/officeDocument/2006/relationships/image" Target="media/image3.png"/><Relationship Id="rId46" Type="http://schemas.openxmlformats.org/officeDocument/2006/relationships/image" Target="media/image10.png"/><Relationship Id="rId45" Type="http://schemas.openxmlformats.org/officeDocument/2006/relationships/image" Target="media/image14.png"/><Relationship Id="rId107" Type="http://schemas.openxmlformats.org/officeDocument/2006/relationships/hyperlink" Target="https://ojs.aaai.org/index.php/AAAI/article/view/29541/30901" TargetMode="External"/><Relationship Id="rId106" Type="http://schemas.openxmlformats.org/officeDocument/2006/relationships/hyperlink" Target="https://arxiv.org/html/2501.13787v1" TargetMode="External"/><Relationship Id="rId105" Type="http://schemas.openxmlformats.org/officeDocument/2006/relationships/hyperlink" Target="https://proceedings.iclr.cc/paper_files/paper/2026/file/1b6a826220b7ce4d1ea4239f6dd356ac-Paper-Conference.pdf" TargetMode="External"/><Relationship Id="rId104" Type="http://schemas.openxmlformats.org/officeDocument/2006/relationships/hyperlink" Target="https://www.mdpi.com/2072-4292/18/17/2934" TargetMode="External"/><Relationship Id="rId109" Type="http://schemas.openxmlformats.org/officeDocument/2006/relationships/hyperlink" Target="https://www.computer.org/csdl/journal/tp/2026/02/11186129/2asJRVVy3Ze" TargetMode="External"/><Relationship Id="rId108" Type="http://schemas.openxmlformats.org/officeDocument/2006/relationships/hyperlink" Target="https://openaccess.thecvf.com/content/CVPR2025/papers/Cai_SPMTrack_Spatio-Temporal_Parameter-Efficient_Fine-Tuning_with_Mixture_of_Experts_for_Scalable_CVPR_2025_paper.pdf" TargetMode="External"/><Relationship Id="rId48" Type="http://schemas.openxmlformats.org/officeDocument/2006/relationships/image" Target="media/image31.png"/><Relationship Id="rId47" Type="http://schemas.openxmlformats.org/officeDocument/2006/relationships/image" Target="media/image6.png"/><Relationship Id="rId49" Type="http://schemas.openxmlformats.org/officeDocument/2006/relationships/image" Target="media/image38.png"/><Relationship Id="rId103" Type="http://schemas.openxmlformats.org/officeDocument/2006/relationships/hyperlink" Target="https://www.mdpi.com/2072-4292/18/2/354" TargetMode="External"/><Relationship Id="rId102" Type="http://schemas.openxmlformats.org/officeDocument/2006/relationships/hyperlink" Target="https://sanandres.uep.edu.py/default.aspx/Toj3yf/701126/Ieee%20Transactions%20Pattern%20Analysis%20And%20Machine%20Intelligence.pdf" TargetMode="External"/><Relationship Id="rId101" Type="http://schemas.openxmlformats.org/officeDocument/2006/relationships/hyperlink" Target="https://arxiv.org/html/2601.02763v2" TargetMode="External"/><Relationship Id="rId100" Type="http://schemas.openxmlformats.org/officeDocument/2006/relationships/hyperlink" Target="https://scholar.hit.edu.cn/en/publications/beyond-degradation-redundancy-contrastive-prompt-learning-for-all/" TargetMode="External"/><Relationship Id="rId31" Type="http://schemas.openxmlformats.org/officeDocument/2006/relationships/image" Target="media/image39.png"/><Relationship Id="rId30" Type="http://schemas.openxmlformats.org/officeDocument/2006/relationships/image" Target="media/image27.png"/><Relationship Id="rId33" Type="http://schemas.openxmlformats.org/officeDocument/2006/relationships/image" Target="media/image13.png"/><Relationship Id="rId32" Type="http://schemas.openxmlformats.org/officeDocument/2006/relationships/image" Target="media/image26.png"/><Relationship Id="rId35" Type="http://schemas.openxmlformats.org/officeDocument/2006/relationships/image" Target="media/image15.png"/><Relationship Id="rId34" Type="http://schemas.openxmlformats.org/officeDocument/2006/relationships/image" Target="media/image25.png"/><Relationship Id="rId37" Type="http://schemas.openxmlformats.org/officeDocument/2006/relationships/image" Target="media/image12.png"/><Relationship Id="rId36" Type="http://schemas.openxmlformats.org/officeDocument/2006/relationships/image" Target="media/image44.png"/><Relationship Id="rId39" Type="http://schemas.openxmlformats.org/officeDocument/2006/relationships/image" Target="media/image7.png"/><Relationship Id="rId38" Type="http://schemas.openxmlformats.org/officeDocument/2006/relationships/image" Target="media/image4.png"/><Relationship Id="rId20" Type="http://schemas.openxmlformats.org/officeDocument/2006/relationships/image" Target="media/image40.png"/><Relationship Id="rId22" Type="http://schemas.openxmlformats.org/officeDocument/2006/relationships/image" Target="media/image36.png"/><Relationship Id="rId21" Type="http://schemas.openxmlformats.org/officeDocument/2006/relationships/image" Target="media/image37.png"/><Relationship Id="rId24" Type="http://schemas.openxmlformats.org/officeDocument/2006/relationships/image" Target="media/image22.png"/><Relationship Id="rId23" Type="http://schemas.openxmlformats.org/officeDocument/2006/relationships/image" Target="media/image35.png"/><Relationship Id="rId26" Type="http://schemas.openxmlformats.org/officeDocument/2006/relationships/image" Target="media/image41.png"/><Relationship Id="rId121" Type="http://schemas.openxmlformats.org/officeDocument/2006/relationships/hyperlink" Target="https://www.cs.cityu.edu.hk/~cliu644/HomePage/publication.html" TargetMode="External"/><Relationship Id="rId25" Type="http://schemas.openxmlformats.org/officeDocument/2006/relationships/image" Target="media/image16.png"/><Relationship Id="rId120" Type="http://schemas.openxmlformats.org/officeDocument/2006/relationships/hyperlink" Target="https://sanandres.uep.edu.py/index.jsp/Toj3yf/701126/Ieee%20Transactions%20Pattern%20Analysis%20And%20Machine%20Intelligence.pdf" TargetMode="External"/><Relationship Id="rId28" Type="http://schemas.openxmlformats.org/officeDocument/2006/relationships/image" Target="media/image43.png"/><Relationship Id="rId27" Type="http://schemas.openxmlformats.org/officeDocument/2006/relationships/image" Target="media/image24.png"/><Relationship Id="rId29" Type="http://schemas.openxmlformats.org/officeDocument/2006/relationships/image" Target="media/image17.png"/><Relationship Id="rId124" Type="http://schemas.openxmlformats.org/officeDocument/2006/relationships/hyperlink" Target="https://openreview.net/forum?id=ZkfQikqVI5" TargetMode="External"/><Relationship Id="rId123" Type="http://schemas.openxmlformats.org/officeDocument/2006/relationships/hyperlink" Target="https://www.computer.org/csdl/journal/tp/2026/10/11579476/2hBT8nGLRL2" TargetMode="External"/><Relationship Id="rId122" Type="http://schemas.openxmlformats.org/officeDocument/2006/relationships/hyperlink" Target="https://ieeexplore.ieee.org/iel8/34/4359286/11311342.pdf" TargetMode="External"/><Relationship Id="rId95" Type="http://schemas.openxmlformats.org/officeDocument/2006/relationships/hyperlink" Target="https://lowlevelcv.com/en/" TargetMode="External"/><Relationship Id="rId94" Type="http://schemas.openxmlformats.org/officeDocument/2006/relationships/hyperlink" Target="https://www.computer.org/csdl/journal/tp/2025/12/11123156/297KzuCS0GA" TargetMode="External"/><Relationship Id="rId97" Type="http://schemas.openxmlformats.org/officeDocument/2006/relationships/hyperlink" Target="https://proceedings.iclr.cc/paper_files/paper/2026/file/cd1da8043ba5c1c144ab4e10a8de6e53-Paper-Conference.pdf" TargetMode="External"/><Relationship Id="rId96" Type="http://schemas.openxmlformats.org/officeDocument/2006/relationships/hyperlink" Target="https://arxiv.org/html/2601.10192v1" TargetMode="External"/><Relationship Id="rId11" Type="http://schemas.openxmlformats.org/officeDocument/2006/relationships/image" Target="media/image20.png"/><Relationship Id="rId99" Type="http://schemas.openxmlformats.org/officeDocument/2006/relationships/hyperlink" Target="https://github.com/xl-tang3" TargetMode="External"/><Relationship Id="rId10" Type="http://schemas.openxmlformats.org/officeDocument/2006/relationships/image" Target="media/image23.png"/><Relationship Id="rId98" Type="http://schemas.openxmlformats.org/officeDocument/2006/relationships/hyperlink" Target="https://ieeexplore.ieee.org/document/10970105/" TargetMode="External"/><Relationship Id="rId13" Type="http://schemas.openxmlformats.org/officeDocument/2006/relationships/image" Target="media/image32.png"/><Relationship Id="rId12" Type="http://schemas.openxmlformats.org/officeDocument/2006/relationships/image" Target="media/image28.png"/><Relationship Id="rId91" Type="http://schemas.openxmlformats.org/officeDocument/2006/relationships/hyperlink" Target="https://www.researchgate.net/publication/384462530_MambaIR_A_Simple_Baseline_for_Image_Restoration_with_State-Space_Model" TargetMode="External"/><Relationship Id="rId90" Type="http://schemas.openxmlformats.org/officeDocument/2006/relationships/hyperlink" Target="https://openaccess.thecvf.com/content/CVPR2025/papers/Zhou_TSP-Mamba_The_Travelling_Salesman_Problem_Meets_Mamba_for_Image_Super-resolution_CVPR_2025_paper.pdf" TargetMode="External"/><Relationship Id="rId93" Type="http://schemas.openxmlformats.org/officeDocument/2006/relationships/hyperlink" Target="https://www.researchgate.net/publication/403903393_HSFM_Hybrid_Spatial_Frequency_Mamba_for_Efficient_Image_Restoration" TargetMode="External"/><Relationship Id="rId92" Type="http://schemas.openxmlformats.org/officeDocument/2006/relationships/hyperlink" Target="https://github.com/csguoh/Awesome-Mamba-in-Low-Level-Vision" TargetMode="External"/><Relationship Id="rId118" Type="http://schemas.openxmlformats.org/officeDocument/2006/relationships/hyperlink" Target="http://ieeexplore.ieee.org/document/10296029/" TargetMode="External"/><Relationship Id="rId117" Type="http://schemas.openxmlformats.org/officeDocument/2006/relationships/hyperlink" Target="https://pubmed.ncbi.nlm.nih.gov/40663671/" TargetMode="External"/><Relationship Id="rId116" Type="http://schemas.openxmlformats.org/officeDocument/2006/relationships/hyperlink" Target="https://github.com/CUHK-AIM-Group/Light-UNETR" TargetMode="External"/><Relationship Id="rId115" Type="http://schemas.openxmlformats.org/officeDocument/2006/relationships/hyperlink" Target="https://github.com/yunbeizhang/Awesome-Visual-Prompt-Tuning" TargetMode="External"/><Relationship Id="rId119" Type="http://schemas.openxmlformats.org/officeDocument/2006/relationships/hyperlink" Target="https://www.mmlab-ntu.com/publication_year.html" TargetMode="External"/><Relationship Id="rId15" Type="http://schemas.openxmlformats.org/officeDocument/2006/relationships/image" Target="media/image11.png"/><Relationship Id="rId110" Type="http://schemas.openxmlformats.org/officeDocument/2006/relationships/hyperlink" Target="https://pubmed.ncbi.nlm.nih.gov/42550751/" TargetMode="External"/><Relationship Id="rId14" Type="http://schemas.openxmlformats.org/officeDocument/2006/relationships/image" Target="media/image30.png"/><Relationship Id="rId17" Type="http://schemas.openxmlformats.org/officeDocument/2006/relationships/image" Target="media/image34.png"/><Relationship Id="rId16" Type="http://schemas.openxmlformats.org/officeDocument/2006/relationships/image" Target="media/image5.png"/><Relationship Id="rId19" Type="http://schemas.openxmlformats.org/officeDocument/2006/relationships/image" Target="media/image42.png"/><Relationship Id="rId114" Type="http://schemas.openxmlformats.org/officeDocument/2006/relationships/hyperlink" Target="https://openreview.net/search?term=~Jihun_Hamm2&amp;content=authors&amp;group=all&amp;source=forum&amp;sort=cdate:desc" TargetMode="External"/><Relationship Id="rId18" Type="http://schemas.openxmlformats.org/officeDocument/2006/relationships/image" Target="media/image33.png"/><Relationship Id="rId113" Type="http://schemas.openxmlformats.org/officeDocument/2006/relationships/hyperlink" Target="https://ieeexplore.ieee.org/iel8/34/4359286/11364256.pdf" TargetMode="External"/><Relationship Id="rId112" Type="http://schemas.openxmlformats.org/officeDocument/2006/relationships/hyperlink" Target="https://www.computer.org/csdl/journal/tp/2026/08/11475202/2fuLTqYCgxO" TargetMode="External"/><Relationship Id="rId111" Type="http://schemas.openxmlformats.org/officeDocument/2006/relationships/hyperlink" Target="https://www.researchgate.net/publication/411281319_Triplet_Decomposition_and_Extensions_A_General_Framework_for_Parameter-Efficient_Fine-Tuning" TargetMode="External"/><Relationship Id="rId84" Type="http://schemas.openxmlformats.org/officeDocument/2006/relationships/hyperlink" Target="https://www.redalyc.org/journal/5722/572284328013/html/" TargetMode="External"/><Relationship Id="rId83" Type="http://schemas.openxmlformats.org/officeDocument/2006/relationships/hyperlink" Target="https://github.com/nifangbaage/explicit-visual-prompt" TargetMode="External"/><Relationship Id="rId86" Type="http://schemas.openxmlformats.org/officeDocument/2006/relationships/hyperlink" Target="https://arxiv.org/pdf/2509.01080" TargetMode="External"/><Relationship Id="rId85" Type="http://schemas.openxmlformats.org/officeDocument/2006/relationships/hyperlink" Target="https://www.emergentmind.com/topics/vision-mamba-architectures" TargetMode="External"/><Relationship Id="rId88" Type="http://schemas.openxmlformats.org/officeDocument/2006/relationships/hyperlink" Target="https://www.reddit.com/r/ArtificialInteligence/comments/1gs09tb/vision_mamba_bidirectional_state_space_models_for/" TargetMode="External"/><Relationship Id="rId87" Type="http://schemas.openxmlformats.org/officeDocument/2006/relationships/hyperlink" Target="https://www.mdpi.com/2072-4292/18/13/2207" TargetMode="External"/><Relationship Id="rId89" Type="http://schemas.openxmlformats.org/officeDocument/2006/relationships/hyperlink" Target="https://www.semanticscholar.org/paper/Vision-Mamba%3A-Efficient-Visual-Representation-with-Zhu-Liao/38c48a1cd296d16dc9c56717495d6e44cc354444" TargetMode="External"/><Relationship Id="rId80" Type="http://schemas.openxmlformats.org/officeDocument/2006/relationships/hyperlink" Target="https://www.reddit.com/r/MachineLearning/comments/1ss12tp/neurips_2026_will_you_be_submitting_your_code/" TargetMode="External"/><Relationship Id="rId82" Type="http://schemas.openxmlformats.org/officeDocument/2006/relationships/hyperlink" Target="https://github.com/xl-tang3/DA-RCOT" TargetMode="External"/><Relationship Id="rId81" Type="http://schemas.openxmlformats.org/officeDocument/2006/relationships/hyperlink" Target="https://www.opentrain.ai/papers/explicit-visual-prompting-for-universal-foreground-segmentations--arxiv-2305.184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9.png"/><Relationship Id="rId8" Type="http://schemas.openxmlformats.org/officeDocument/2006/relationships/image" Target="media/image18.png"/><Relationship Id="rId73" Type="http://schemas.openxmlformats.org/officeDocument/2006/relationships/hyperlink" Target="https://www.kaggle.com/datasets/shanmuk4622kk/ceb-kd-phase2-kaggle" TargetMode="External"/><Relationship Id="rId72" Type="http://schemas.openxmlformats.org/officeDocument/2006/relationships/hyperlink" Target="https://proceedings.iclr.cc/paper_files/paper/2025/file/a2899d8c4b5bb27318e19bd6d9934764-Paper-Conference.pdf" TargetMode="External"/><Relationship Id="rId75" Type="http://schemas.openxmlformats.org/officeDocument/2006/relationships/hyperlink" Target="https://github.com/oluwafemidiakhoa/adaptive-sparse-training/blob/main/IMAGENET100_TROUBLESHOOTING.md" TargetMode="External"/><Relationship Id="rId74" Type="http://schemas.openxmlformats.org/officeDocument/2006/relationships/hyperlink" Target="https://medium.com/@tayyabshabaz1234/building-a-masked-autoencoder-mae-from-scratch-teaching-ai-to-see-the-unseen-2555de1f5351" TargetMode="External"/><Relationship Id="rId77" Type="http://schemas.openxmlformats.org/officeDocument/2006/relationships/hyperlink" Target="https://www.kaggle.com/code/kemasaivedhamsh/notebookc1590d1308" TargetMode="External"/><Relationship Id="rId76" Type="http://schemas.openxmlformats.org/officeDocument/2006/relationships/hyperlink" Target="https://huggingface.co/Snugasabug/laya-finetuned-rlcd/blob/e4cdad038de9e12b772e261ffaa983083ca5bf21/notebooks/laya_finetune_typed_decisions_2xT4_kaggle.ipynb" TargetMode="External"/><Relationship Id="rId79" Type="http://schemas.openxmlformats.org/officeDocument/2006/relationships/hyperlink" Target="https://openreview.net/pdf/2dca87237a8f9d78f23a6f46ae7155dd75c02038.pdf" TargetMode="External"/><Relationship Id="rId78" Type="http://schemas.openxmlformats.org/officeDocument/2006/relationships/hyperlink" Target="https://www.computer.org/csdl/journal/tp/2025/04/10836856/23oDN1tQvfi" TargetMode="External"/><Relationship Id="rId71" Type="http://schemas.openxmlformats.org/officeDocument/2006/relationships/hyperlink" Target="https://ora.ox.ac.uk/objects/uuid:3b9da0a1-9ba9-41f3-98ee-d1e6fa3ce3dc" TargetMode="External"/><Relationship Id="rId70" Type="http://schemas.openxmlformats.org/officeDocument/2006/relationships/hyperlink" Target="https://arxiv.org/html/2507.07796v1" TargetMode="External"/><Relationship Id="rId62" Type="http://schemas.openxmlformats.org/officeDocument/2006/relationships/hyperlink" Target="https://cvpr.thecvf.com/virtual/2025/poster/34117" TargetMode="External"/><Relationship Id="rId61" Type="http://schemas.openxmlformats.org/officeDocument/2006/relationships/hyperlink" Target="https://arxiv.org/pdf/2109.09774" TargetMode="External"/><Relationship Id="rId64" Type="http://schemas.openxmlformats.org/officeDocument/2006/relationships/hyperlink" Target="https://pmc.ncbi.nlm.nih.gov/articles/PMC13199962/" TargetMode="External"/><Relationship Id="rId63" Type="http://schemas.openxmlformats.org/officeDocument/2006/relationships/hyperlink" Target="https://neurips.cc/virtual/2025/poster/118629" TargetMode="External"/><Relationship Id="rId66" Type="http://schemas.openxmlformats.org/officeDocument/2006/relationships/hyperlink" Target="https://arxiv.org/html/2411.01656v1" TargetMode="External"/><Relationship Id="rId65" Type="http://schemas.openxmlformats.org/officeDocument/2006/relationships/hyperlink" Target="https://arxiv.org/html/2410.15067v1" TargetMode="External"/><Relationship Id="rId68" Type="http://schemas.openxmlformats.org/officeDocument/2006/relationships/hyperlink" Target="https://vjs.ac.vn/jcc/article/download/24220/2543256989" TargetMode="External"/><Relationship Id="rId67" Type="http://schemas.openxmlformats.org/officeDocument/2006/relationships/hyperlink" Target="https://www.computer.org/csdl/journal/tp/2026/07/11423907/2eDJdqsm6Xe" TargetMode="External"/><Relationship Id="rId60" Type="http://schemas.openxmlformats.org/officeDocument/2006/relationships/hyperlink" Target="https://openreview.net/forum?id=n2An7C7n7e" TargetMode="External"/><Relationship Id="rId69" Type="http://schemas.openxmlformats.org/officeDocument/2006/relationships/hyperlink" Target="https://www.computer.org/csdl/journal/tp/2026/07/11397197/2e9QNqiuuuk" TargetMode="External"/><Relationship Id="rId51" Type="http://schemas.openxmlformats.org/officeDocument/2006/relationships/hyperlink" Target="https://english.nau.edu.cn/2025/1204/c11486a151734/page.htm" TargetMode="External"/><Relationship Id="rId50" Type="http://schemas.openxmlformats.org/officeDocument/2006/relationships/hyperlink" Target="https://jrist.org/jrist/top-research-journals-in-computer-science-2026-guide" TargetMode="External"/><Relationship Id="rId53" Type="http://schemas.openxmlformats.org/officeDocument/2006/relationships/hyperlink" Target="https://www.pnu-cvsp.com/publication/international-papers" TargetMode="External"/><Relationship Id="rId52" Type="http://schemas.openxmlformats.org/officeDocument/2006/relationships/hyperlink" Target="https://www.computer.org/csdl/journal/tp" TargetMode="External"/><Relationship Id="rId55" Type="http://schemas.openxmlformats.org/officeDocument/2006/relationships/hyperlink" Target="https://sites.google.com/site/jchoivision/" TargetMode="External"/><Relationship Id="rId54" Type="http://schemas.openxmlformats.org/officeDocument/2006/relationships/hyperlink" Target="https://ami.kaist.ac.kr/2f8fdae6-c854-8097-82d4-eb35209085a5" TargetMode="External"/><Relationship Id="rId57" Type="http://schemas.openxmlformats.org/officeDocument/2006/relationships/hyperlink" Target="https://scispace.com/journals/ieee-transactions-on-pattern-analysis-and-machine-3qetrrfv" TargetMode="External"/><Relationship Id="rId56" Type="http://schemas.openxmlformats.org/officeDocument/2006/relationships/hyperlink" Target="https://manusights.com/blog/is-my-paper-ready-for-ieee-transactions-on-pattern-analysis-and-machine-intelligence" TargetMode="External"/><Relationship Id="rId59" Type="http://schemas.openxmlformats.org/officeDocument/2006/relationships/hyperlink" Target="https://manusights.com/blog/ieee-transactions-on-pattern-analysis-and-machine-intelligence-cover-letter" TargetMode="External"/><Relationship Id="rId58" Type="http://schemas.openxmlformats.org/officeDocument/2006/relationships/hyperlink" Target="https://manusights.com/blog/rejected-from-ieee-transactions-on-pattern-analysis-and-machine-intelligence-where-n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