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Legal Lens — Product &amp; Functional Specification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Hybrid BRD / PRD / FRD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·  v0.1 Draft  ·  2026-10-01  ·  Owner: H. Suravar  · 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Rev 0.1 — initial draft from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555555"/>
          <w:sz w:val="16"/>
          <w:szCs w:val="16"/>
        </w:rPr>
        <w:t xml:space="preserve">ideas.md</w:t>
      </w:r>
    </w:p>
    <w:p>
      <w:pPr>
        <w:shd w:fill="F4F5F7" w:color="auto" w:val="clear"/>
        <w:spacing w:after="150" w:before="40"/>
        <w:ind w:left="120" w:right="1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Course project.</w:t>
      </w:r>
      <w:r>
        <w:rPr>
          <w:rFonts w:ascii="Calibri" w:cs="Calibri" w:eastAsia="Calibri" w:hAnsi="Calibri"/>
          <w:sz w:val="17"/>
          <w:szCs w:val="17"/>
        </w:rPr>
        <w:t xml:space="preserve"> Legal Lens is a teaching vehicle, not a commercial product. It is specified and engineered to production standards so the specification itself is instructive; it is not deployed to real attorneys or real client matters.</w:t>
      </w:r>
    </w:p>
    <w:p>
      <w:pPr>
        <w:pStyle w:val="Heading1"/>
        <w:pBdr>
          <w:bottom w:val="single" w:color="9AA0A6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 About This Document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This document does the work usually split across three: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BRD</w:t>
      </w:r>
      <w:r>
        <w:rPr>
          <w:rFonts w:ascii="Calibri" w:cs="Calibri" w:eastAsia="Calibri" w:hAnsi="Calibri"/>
          <w:sz w:val="19"/>
          <w:szCs w:val="19"/>
        </w:rPr>
        <w:t xml:space="preserve"> (why build it — §2),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PRD</w:t>
      </w:r>
      <w:r>
        <w:rPr>
          <w:rFonts w:ascii="Calibri" w:cs="Calibri" w:eastAsia="Calibri" w:hAnsi="Calibri"/>
          <w:sz w:val="19"/>
          <w:szCs w:val="19"/>
        </w:rPr>
        <w:t xml:space="preserve"> (what it does for users — §3), and an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FRD</w:t>
      </w:r>
      <w:r>
        <w:rPr>
          <w:rFonts w:ascii="Calibri" w:cs="Calibri" w:eastAsia="Calibri" w:hAnsi="Calibri"/>
          <w:sz w:val="19"/>
          <w:szCs w:val="19"/>
        </w:rPr>
        <w:t xml:space="preserve"> (what the system must do — §5–§6). It is written for software engineers who are not lawyers; legal terms are glossed inline and in §11.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Not in scope here:</w:t>
      </w:r>
      <w:r>
        <w:rPr>
          <w:rFonts w:ascii="Calibri" w:cs="Calibri" w:eastAsia="Calibri" w:hAnsi="Calibri"/>
          <w:sz w:val="19"/>
          <w:szCs w:val="19"/>
        </w:rPr>
        <w:t xml:space="preserve"> vector database and embedding model selection, chunking strategy, prompt design. Those belong to the Technical Architecture Document that follows. §4.3 specifies the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interfaces and selection criteria</w:t>
      </w:r>
      <w:r>
        <w:rPr>
          <w:rFonts w:ascii="Calibri" w:cs="Calibri" w:eastAsia="Calibri" w:hAnsi="Calibri"/>
          <w:sz w:val="19"/>
          <w:szCs w:val="19"/>
        </w:rPr>
        <w:t xml:space="preserve"> those choices must satisfy, so deferring them leaves no gap in the requirements.</w:t>
      </w:r>
    </w:p>
    <w:p>
      <w:pPr>
        <w:pStyle w:val="Heading1"/>
        <w:pBdr>
          <w:bottom w:val="single" w:color="9AA0A6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 Business Context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2.1  Problem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Legal work is document-bound in a way most knowledge work is not. A single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matter</w:t>
      </w:r>
      <w:r>
        <w:rPr>
          <w:rFonts w:ascii="Calibri" w:cs="Calibri" w:eastAsia="Calibri" w:hAnsi="Calibri"/>
          <w:sz w:val="19"/>
          <w:szCs w:val="19"/>
        </w:rPr>
        <w:t xml:space="preserve"> (one case or transaction) can carry hundreds of pages of contracts, pleadings, and discovery. Three costs recur: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Retrieval</w:t>
      </w:r>
      <w:r>
        <w:rPr>
          <w:rFonts w:ascii="Calibri" w:cs="Calibri" w:eastAsia="Calibri" w:hAnsi="Calibri"/>
          <w:sz w:val="19"/>
          <w:szCs w:val="19"/>
        </w:rPr>
        <w:t xml:space="preserve"> — finding the one indemnification clause that governs a dispute is a manual scan.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Repetition</w:t>
      </w:r>
      <w:r>
        <w:rPr>
          <w:rFonts w:ascii="Calibri" w:cs="Calibri" w:eastAsia="Calibri" w:hAnsi="Calibri"/>
          <w:sz w:val="19"/>
          <w:szCs w:val="19"/>
        </w:rPr>
        <w:t xml:space="preserve"> — “who are the parties, what are the obligations, when does it terminate, what is unusual” is the same task performed on every new document.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Blank page</w:t>
      </w:r>
      <w:r>
        <w:rPr>
          <w:rFonts w:ascii="Calibri" w:cs="Calibri" w:eastAsia="Calibri" w:hAnsi="Calibri"/>
          <w:sz w:val="19"/>
          <w:szCs w:val="19"/>
        </w:rPr>
        <w:t xml:space="preserve"> — memos and case summaries start from scratch.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2.2  Why general-purpose AI fails here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A general chatbot is unusable for legal work for one specific reason: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it will confidently invent a citation.</w:t>
      </w:r>
      <w:r>
        <w:rPr>
          <w:rFonts w:ascii="Calibri" w:cs="Calibri" w:eastAsia="Calibri" w:hAnsi="Calibri"/>
          <w:sz w:val="19"/>
          <w:szCs w:val="19"/>
        </w:rPr>
        <w:t xml:space="preserve"> Not hypothetical — attorneys have been sanctioned for filing briefs citing cases that do not exist. A professional whose license is at risk cannot verify an answer that does not show its source.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So the differentiating constraint is not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answer well</w:t>
      </w:r>
      <w:r>
        <w:rPr>
          <w:rFonts w:ascii="Calibri" w:cs="Calibri" w:eastAsia="Calibri" w:hAnsi="Calibri"/>
          <w:sz w:val="19"/>
          <w:szCs w:val="19"/>
        </w:rPr>
        <w:t xml:space="preserve">. It is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answer only from the documents provided, and show exactly where each answer came from.</w:t>
      </w:r>
      <w:r>
        <w:rPr>
          <w:rFonts w:ascii="Calibri" w:cs="Calibri" w:eastAsia="Calibri" w:hAnsi="Calibri"/>
          <w:sz w:val="19"/>
          <w:szCs w:val="19"/>
        </w:rPr>
        <w:t xml:space="preserve"> Every decision below follows from that.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2.3  Success metrics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No commercial context exists, so revenue and seat metrics would be theater. Success is product quality: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880"/>
      </w:tblGrid>
      <w:tr>
        <w:trPr>
          <w:tblHeader/>
        </w:trPr>
        <w:tc>
          <w:tcPr>
            <w:tcW w:type="dxa" w:w="250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370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388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Citation accuracy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95% of cited passages genuinely support the claim</w:t>
            </w:r>
          </w:p>
        </w:tc>
        <w:tc>
          <w:tcPr>
            <w:tcW w:type="dxa" w:w="3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core trust property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Correct abstention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90% of unanswerable questions answered “not found”</w:t>
            </w:r>
          </w:p>
        </w:tc>
        <w:tc>
          <w:tcPr>
            <w:tcW w:type="dxa" w:w="3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Refusing to guess is the hardest and most important behavior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 to answer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p95 &lt; 15 s on a 100-page document</w:t>
            </w:r>
          </w:p>
        </w:tc>
        <w:tc>
          <w:tcPr>
            <w:tcW w:type="dxa" w:w="3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Below the point where a user would just scan manually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Summary completeness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9 fields populated or explicitly marked absent</w:t>
            </w:r>
          </w:p>
        </w:tc>
        <w:tc>
          <w:tcPr>
            <w:tcW w:type="dxa" w:w="3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missing clause matters as much as a present one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9AA0A6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 Product Definition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3.1  Users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5480"/>
      </w:tblGrid>
      <w:tr>
        <w:trPr>
          <w:tblHeader/>
        </w:trPr>
        <w:tc>
          <w:tcPr>
            <w:tcW w:type="dxa" w:w="150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310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548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Need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Practicing attorney, solo or small firm</w:t>
            </w:r>
          </w:p>
        </w:tc>
        <w:tc>
          <w:tcPr>
            <w:tcW w:type="dxa" w:w="5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Trustworthy answers about their own documents; an editable first draft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Paralegal</w:t>
            </w:r>
          </w:p>
        </w:tc>
        <w:tc>
          <w:tcPr>
            <w:tcW w:type="dxa" w:w="5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 triage and summarization at volume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Explicitly not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End clients, general public</w:t>
            </w:r>
          </w:p>
        </w:tc>
        <w:tc>
          <w:tcPr>
            <w:tcW w:type="dxa" w:w="5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tool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for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licensed professionals, not a legal-advice service (§8.3)</w:t>
            </w:r>
          </w:p>
        </w:tc>
      </w:tr>
    </w:tbl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3.2  The three features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Ask.</w:t>
      </w:r>
      <w:r>
        <w:rPr>
          <w:rFonts w:ascii="Calibri" w:cs="Calibri" w:eastAsia="Calibri" w:hAnsi="Calibri"/>
          <w:sz w:val="19"/>
          <w:szCs w:val="19"/>
        </w:rPr>
        <w:t xml:space="preserve"> The user uploads documents and types a question. They get a direct answer composed only of what the documents say, each assertion carrying a clickable citation to a page. If the documents do not answer the question, the system says so and offers nothing in its place.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Summary.</w:t>
      </w:r>
      <w:r>
        <w:rPr>
          <w:rFonts w:ascii="Calibri" w:cs="Calibri" w:eastAsia="Calibri" w:hAnsi="Calibri"/>
          <w:sz w:val="19"/>
          <w:szCs w:val="19"/>
        </w:rPr>
        <w:t xml:space="preserve"> The user selects a document and gets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structured</w:t>
      </w:r>
      <w:r>
        <w:rPr>
          <w:rFonts w:ascii="Calibri" w:cs="Calibri" w:eastAsia="Calibri" w:hAnsi="Calibri"/>
          <w:sz w:val="19"/>
          <w:szCs w:val="19"/>
        </w:rPr>
        <w:t xml:space="preserve"> summary, not prose — lawyers read for fields, and fields are comparable across documents in a way paragraphs are not. Nine fields: parties; term and renewal; obligations per party; payment terms; termination triggers; governing law and venue; liability and indemnification; unusual or off-market provisions; open items needing human review. Each populated field cites its source page; expected-but-absent clauses are reported explicitly.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Draft.</w:t>
      </w:r>
      <w:r>
        <w:rPr>
          <w:rFonts w:ascii="Calibri" w:cs="Calibri" w:eastAsia="Calibri" w:hAnsi="Calibri"/>
          <w:sz w:val="19"/>
          <w:szCs w:val="19"/>
        </w:rPr>
        <w:t xml:space="preserve"> The user describes what they need and selects source documents. They get a structured first draft — for a memo: Question Presented / Brief Answer / Facts / Discussion / Conclusion — with facts cited to sources. Where a fact is missing it marks </w:t>
      </w:r>
      <w:r>
        <w:rPr>
          <w:rFonts w:ascii="Consolas" w:cs="Consolas" w:eastAsia="Consolas" w:hAnsi="Consolas"/>
          <w:sz w:val="18"/>
          <w:szCs w:val="18"/>
        </w:rPr>
        <w:t xml:space="preserve">[ATTORNEY INPUT REQUIRED]</w:t>
      </w:r>
      <w:r>
        <w:rPr>
          <w:rFonts w:ascii="Calibri" w:cs="Calibri" w:eastAsia="Calibri" w:hAnsi="Calibri"/>
          <w:sz w:val="19"/>
          <w:szCs w:val="19"/>
        </w:rPr>
        <w:t xml:space="preserve"> rather than inventing a plausible specific.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3.3  Phase 1 boundaries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dxa" w:w="504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Uploaded documents as the only knowledge source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Case law, statutes, regulations (Phase 3)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 user, no login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Authentication, multi-user, firm sharing (Phase 2)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Descriptions of what documents say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Legal advice on what to do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Draft as editable, exportable text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 outbound action — filing, sending, serving (never)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Native-text PDF, DOCX, TXT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Scanned PDFs — rejected explicitly, never silently mis-ingested</w:t>
            </w:r>
          </w:p>
        </w:tc>
      </w:tr>
    </w:tbl>
    <w:p>
      <w:pPr>
        <w:pStyle w:val="Heading1"/>
        <w:pBdr>
          <w:bottom w:val="single" w:color="9AA0A6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 Architecture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+---------------------------------------------------------------+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|  BROWSER -- React + TypeScript + Vite                         |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|  Upload | Prompt bar | Answer+citations | PDF highlighting    |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+---------------------------------------------------------------+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 |  HTTPS/JSON -- SSE for token streaming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+---------------------------------------------------------------+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|  API -- Python | FastAPI | uv                                 |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|  /matters  /documents  /ask  /summary  /draft  /audit         |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+---------------------------------------------------------------+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|  AI LAYER                                                     |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|   ingest:  extract -&gt; chunk -&gt; embed ------&gt; vector store     |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|   query:   embed -&gt; retrieve ---+                             |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|                                 v                             |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|                        prompt assembly --&gt; Claude API         |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|                                           (citations on)      |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+---------------------------------------------------------------+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 |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+----------+-----------+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| Postgres | Object    |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| metadata | store     |</w:t>
      </w:r>
    </w:p>
    <w:p>
      <w:pPr>
        <w:spacing w:after="0" w:before="0" w:line="19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+----------+-----------+</w:t>
      </w:r>
    </w:p>
    <w:p>
      <w:pPr>
        <w:spacing w:after="80" w:before="0"/>
      </w:pP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4.1  Citations are infrastructure, not a feature to build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The Claude API supports native citations: mark a document as citable, and the response returns as text blocks where each cited block carries a </w:t>
      </w:r>
      <w:r>
        <w:rPr>
          <w:rFonts w:ascii="Consolas" w:cs="Consolas" w:eastAsia="Consolas" w:hAnsi="Consolas"/>
          <w:sz w:val="18"/>
          <w:szCs w:val="18"/>
        </w:rPr>
        <w:t xml:space="preserve">citations</w:t>
      </w:r>
      <w:r>
        <w:rPr>
          <w:rFonts w:ascii="Calibri" w:cs="Calibri" w:eastAsia="Calibri" w:hAnsi="Calibri"/>
          <w:sz w:val="19"/>
          <w:szCs w:val="19"/>
        </w:rPr>
        <w:t xml:space="preserve"> array with the exact </w:t>
      </w:r>
      <w:r>
        <w:rPr>
          <w:rFonts w:ascii="Consolas" w:cs="Consolas" w:eastAsia="Consolas" w:hAnsi="Consolas"/>
          <w:sz w:val="18"/>
          <w:szCs w:val="18"/>
        </w:rPr>
        <w:t xml:space="preserve">cited_text</w:t>
      </w:r>
      <w:r>
        <w:rPr>
          <w:rFonts w:ascii="Calibri" w:cs="Calibri" w:eastAsia="Calibri" w:hAnsi="Calibri"/>
          <w:sz w:val="19"/>
          <w:szCs w:val="19"/>
        </w:rPr>
        <w:t xml:space="preserve">, the document title, and a 1-indexed page range. “Click a claim, see the highlighted source passage” is therefore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supported platform behavior</w:t>
      </w:r>
      <w:r>
        <w:rPr>
          <w:rFonts w:ascii="Calibri" w:cs="Calibri" w:eastAsia="Calibri" w:hAnsi="Calibri"/>
          <w:sz w:val="19"/>
          <w:szCs w:val="19"/>
        </w:rPr>
        <w:t xml:space="preserve">, not a bespoke string-matching system. Given that fabricated citations are this product’s catastrophic failure mode, this is the most load-bearing technical fact in the specification.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One constraint follows: citations are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incompatible with structured JSON output</w:t>
      </w:r>
      <w:r>
        <w:rPr>
          <w:rFonts w:ascii="Calibri" w:cs="Calibri" w:eastAsia="Calibri" w:hAnsi="Calibri"/>
          <w:sz w:val="19"/>
          <w:szCs w:val="19"/>
        </w:rPr>
        <w:t xml:space="preserve"> in a single API call. Summary wants both — resolution in §9.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4.2  Design decision — retrieval strategy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RAG is the specified architecture. The honest engineering observation is that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Phase 1 may not need it.</w:t>
      </w:r>
      <w:r>
        <w:rPr>
          <w:rFonts w:ascii="Calibri" w:cs="Calibri" w:eastAsia="Calibri" w:hAnsi="Calibri"/>
          <w:sz w:val="19"/>
          <w:szCs w:val="19"/>
        </w:rPr>
        <w:t xml:space="preserve"> A 100-page contract is roughly 75,000 tokens; the context window is 1,000,000. The document fits whole — and a whole document in context cannot suffer a retrieval miss, produces page citations natively, and can answer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“there is no limitation of liability clause”</w:t>
      </w:r>
      <w:r>
        <w:rPr>
          <w:rFonts w:ascii="Calibri" w:cs="Calibri" w:eastAsia="Calibri" w:hAnsi="Calibri"/>
          <w:sz w:val="19"/>
          <w:szCs w:val="19"/>
        </w:rPr>
        <w:t xml:space="preserve">: a question about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absence</w:t>
      </w:r>
      <w:r>
        <w:rPr>
          <w:rFonts w:ascii="Calibri" w:cs="Calibri" w:eastAsia="Calibri" w:hAnsi="Calibri"/>
          <w:sz w:val="19"/>
          <w:szCs w:val="19"/>
        </w:rPr>
        <w:t xml:space="preserve">, which retrieval is structurally bad at, because retrieval returns what matches and cannot return what is missing.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Retrieval earns its place when the corpus genuinely exceeds the context window. The specification therefore sets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threshold</w:t>
      </w:r>
      <w:r>
        <w:rPr>
          <w:rFonts w:ascii="Calibri" w:cs="Calibri" w:eastAsia="Calibri" w:hAnsi="Calibri"/>
          <w:sz w:val="19"/>
          <w:szCs w:val="19"/>
        </w:rPr>
        <w:t xml:space="preserve">, not a single pipeline: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Corpus for the query</w:t>
            </w:r>
          </w:p>
        </w:tc>
        <w:tc>
          <w:tcPr>
            <w:tcW w:type="dxa" w:w="588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Fits in context (Phase 1’s common case)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Whole document(s) in context + prompt caching + native citations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Exceeds context, or cost-bound at volume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RAG retrieval over the vector store</w:t>
            </w:r>
          </w:p>
        </w:tc>
      </w:tr>
    </w:tbl>
    <w:p>
      <w:pPr>
        <w:spacing w:after="70" w:before="80"/>
      </w:pPr>
      <w:r>
        <w:rPr>
          <w:rFonts w:ascii="Calibri" w:cs="Calibri" w:eastAsia="Calibri" w:hAnsi="Calibri"/>
          <w:sz w:val="19"/>
          <w:szCs w:val="19"/>
        </w:rPr>
        <w:t xml:space="preserve">Both paths are built; the threshold selects per request. This is more instructive than either alone: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the right tool depends on the size of the problem, and a 1M-token context window moved where that boundary sits.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4.3  Deferred choices and the bar they must clear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Choice</w:t>
            </w:r>
          </w:p>
        </w:tc>
        <w:tc>
          <w:tcPr>
            <w:tcW w:type="dxa" w:w="758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Must satisfy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7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Metadata filtering by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matter_id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hybrid dense + keyword search; verifiable hard delete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7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Contractual no-retention / no-training posture — it processes privileged text (§8.2); ≥ 8K token input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Chunking strategy</w:t>
            </w:r>
          </w:p>
        </w:tc>
        <w:tc>
          <w:tcPr>
            <w:tcW w:type="dxa" w:w="7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Respects clause and section boundaries; preserves defined-term context</w:t>
            </w:r>
          </w:p>
        </w:tc>
      </w:tr>
    </w:tbl>
    <w:p>
      <w:pPr>
        <w:spacing w:after="7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Portability is a requirement, not an aspiration</w:t>
      </w:r>
      <w:r>
        <w:rPr>
          <w:rFonts w:ascii="Calibri" w:cs="Calibri" w:eastAsia="Calibri" w:hAnsi="Calibri"/>
          <w:sz w:val="19"/>
          <w:szCs w:val="19"/>
        </w:rPr>
        <w:t xml:space="preserve"> (NFR-11): model provider, embedding provider, and vector store each sit behind an interface, so swapping one changes no API contract and no frontend code.</w:t>
      </w:r>
    </w:p>
    <w:p>
      <w:pPr>
        <w:pStyle w:val="Heading1"/>
        <w:pBdr>
          <w:bottom w:val="single" w:color="9AA0A6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 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60"/>
        <w:gridCol w:w="7360"/>
        <w:gridCol w:w="880"/>
      </w:tblGrid>
      <w:tr>
        <w:trPr>
          <w:tblHeader/>
        </w:trPr>
        <w:tc>
          <w:tcPr>
            <w:tcW w:type="dxa" w:w="108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6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8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Documents</w:t>
            </w: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PDF, DOCX, TXT; ≤ 50 MB and ≤ 500 pages per document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FR-2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Detect a PDF with no extractable text layer and reject it, naming OCR as unsupported — never ingest it as empty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FR-3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List, view, delete documents; deletion purges derived artifacts (NFR-8)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FR-4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 document belongs to 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matter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a default matter is auto-created in Phase 1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FR-5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Expose ingestion state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queued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processing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ready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failed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 with a failure reason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Ask</w:t>
            </w: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FR-6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Accept a natural-language question scoped to a selected document or matter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FR-7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 factual assertion carries ≥ 1 citation with document title and page number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FR-8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Clicking a citation opens the source at that page with the passage highlighted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FR-9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When the documents do not support an answer, say so and supply no substitute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Stream answers incrementally; support multi-turn follow-ups and cross-document questions within a matter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Summary</w:t>
            </w: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Produce the 9-field structured summary of §3.2, identically shaped across documents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FR-12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Cite source page(s) for each populated field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FR-13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expected-but-absent clauses explicitly rather than omitting them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FR-14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Generate a memo or case summary from an instruction plus selected source documents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FR-15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 conventional structure; cite facts to source documents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FR-16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 missing facts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[ATTORNEY INPUT REQUIRED]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never invent a specific to fill a gap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FR-17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Label output as an unreviewed draft in the UI and inside the exported file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FR-18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Export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.docx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and Markdown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FR-19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Perform no outbound action — no filing, sending, serving — in any phase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FR-20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every generation: timestamp, feature, question, document IDs, grounding spans, model ID, token counts, latency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</w:tbl>
    <w:p>
      <w:pPr>
        <w:pStyle w:val="Heading1"/>
        <w:pBdr>
          <w:bottom w:val="single" w:color="9AA0A6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700"/>
        <w:gridCol w:w="6560"/>
      </w:tblGrid>
      <w:tr>
        <w:trPr>
          <w:tblHeader/>
        </w:trPr>
        <w:tc>
          <w:tcPr>
            <w:tcW w:type="dxa" w:w="82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56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Target / verification</w:t>
            </w:r>
          </w:p>
        </w:tc>
      </w:tr>
      <w:tr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NFR-1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Groundedness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— no uncited factual assertion in Ask or Summary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Held-out set of 50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(document, question, expected answer, expected citation)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cases including ≥ 15 unanswerable ones: ≥ 95% citation accuracy, ≥ 90% correct abstention.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Built before prompt tuning begins</w:t>
            </w:r>
          </w:p>
        </w:tc>
      </w:tr>
      <w:tr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NFR-2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p95 first token &lt; 3 s; p95 complete Ask &lt; 15 s; Summary &lt; 45 s; Draft &lt; 90 s</w:t>
            </w:r>
          </w:p>
        </w:tc>
      </w:tr>
      <w:tr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NFR-3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Ingestion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100-page PDF queryable within 60 s of upload</w:t>
            </w:r>
          </w:p>
        </w:tc>
      </w:tr>
      <w:tr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NFR-4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Concurrency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 concurrent users with &lt; 25% p95 latency degradation</w:t>
            </w:r>
          </w:p>
        </w:tc>
      </w:tr>
      <w:tr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NFR-5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Scale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500 pages / 50 MB per document; 200 documents per matter</w:t>
            </w:r>
          </w:p>
        </w:tc>
      </w:tr>
      <w:tr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NFR-6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99.5% monthly, excluding planned maintenance</w:t>
            </w:r>
          </w:p>
        </w:tc>
      </w:tr>
      <w:tr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NFR-7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Confidentiality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Zero-data-retention agreement with the model provider; no training on customer data; TLS 1.3 in transit, AES-256 at rest. The same posture is contractually required of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every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vendor processing document text</w:t>
            </w:r>
          </w:p>
        </w:tc>
      </w:tr>
      <w:tr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NFR-8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Deletion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Deletion purges original, extracted text, chunks, embeddings, and provider-side copies within 24 h, verifiably</w:t>
            </w:r>
          </w:p>
        </w:tc>
      </w:tr>
      <w:tr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NFR-9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Auditability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 log retained 12 months, exportable</w:t>
            </w:r>
          </w:p>
        </w:tc>
      </w:tr>
      <w:tr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≤ $0.35 for the first question against a 100-page document; ≤ $0.05 per follow-up (§7)</w:t>
            </w:r>
          </w:p>
        </w:tc>
      </w:tr>
      <w:tr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NFR-11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Portability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 provider, embedding provider, vector store swappable with no API or frontend change</w:t>
            </w:r>
          </w:p>
        </w:tc>
      </w:tr>
      <w:tr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NFR-12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WCAG 2.1 AA on upload, Ask, and citation-viewing flows</w:t>
            </w:r>
          </w:p>
        </w:tc>
      </w:tr>
      <w:tr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Structured logs, request tracing, per-request token and cost emitted as metrics</w:t>
            </w:r>
          </w:p>
        </w:tc>
      </w:tr>
    </w:tbl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6.1  On the absence of authentication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Phase 1 is single-user with no login — a deliberate scope cut, not an oversight, removing sessions, permissions, and tenancy from the MVP. It is defensible only because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data model is built as though users exist</w:t>
      </w:r>
      <w:r>
        <w:rPr>
          <w:rFonts w:ascii="Calibri" w:cs="Calibri" w:eastAsia="Calibri" w:hAnsi="Calibri"/>
          <w:sz w:val="19"/>
          <w:szCs w:val="19"/>
        </w:rPr>
        <w:t xml:space="preserve">: every matter and document carries an owner field from day one and all queries filter on it, so Phase 2 authentication becomes a middleware and frontend change rather than a schema migration. NFR-7 through NFR-9 apply in Phase 1 regardless.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The transferable lesson: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 scope cut you can defend in writing is engineering; the same cut undocumented is debt.</w:t>
      </w:r>
    </w:p>
    <w:p>
      <w:pPr>
        <w:pStyle w:val="Heading1"/>
        <w:pBdr>
          <w:bottom w:val="single" w:color="9AA0A6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 Cost Model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Per Ask query against a 100-page document (~75K input, ~800 output tokens) on </w:t>
      </w:r>
      <w:r>
        <w:rPr>
          <w:rFonts w:ascii="Consolas" w:cs="Consolas" w:eastAsia="Consolas" w:hAnsi="Consolas"/>
          <w:sz w:val="18"/>
          <w:szCs w:val="18"/>
        </w:rPr>
        <w:t xml:space="preserve">claude-opus-5-5</w:t>
      </w:r>
      <w:r>
        <w:rPr>
          <w:rFonts w:ascii="Calibri" w:cs="Calibri" w:eastAsia="Calibri" w:hAnsi="Calibri"/>
          <w:sz w:val="19"/>
          <w:szCs w:val="19"/>
        </w:rPr>
        <w:t xml:space="preserve"> — $4.00 / $20.00 per million input / output tokens, cached input read at $0.20 per million: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1800"/>
        <w:gridCol w:w="1800"/>
        <w:gridCol w:w="1980"/>
      </w:tblGrid>
      <w:tr>
        <w:trPr>
          <w:tblHeader/>
        </w:trPr>
        <w:tc>
          <w:tcPr>
            <w:tcW w:type="dxa" w:w="340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 cost</w:t>
            </w:r>
          </w:p>
        </w:tc>
        <w:tc>
          <w:tcPr>
            <w:tcW w:type="dxa" w:w="180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 cost</w:t>
            </w:r>
          </w:p>
        </w:tc>
        <w:tc>
          <w:tcPr>
            <w:tcW w:type="dxa" w:w="198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Whole document, first question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75K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$0.300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$0.016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~$0.32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Whole document, cached follow-up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75K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$0.015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$0.016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~$0.03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RAG, 8 retrieved chunks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~7K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$0.028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$0.016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~$0.04</w:t>
            </w:r>
          </w:p>
        </w:tc>
      </w:tr>
    </w:tbl>
    <w:p>
      <w:pPr>
        <w:spacing w:after="70" w:before="80"/>
      </w:pPr>
      <w:r>
        <w:rPr>
          <w:rFonts w:ascii="Calibri" w:cs="Calibri" w:eastAsia="Calibri" w:hAnsi="Calibri"/>
          <w:sz w:val="19"/>
          <w:szCs w:val="19"/>
        </w:rPr>
        <w:t xml:space="preserve">The instructive result: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 cached whole document is cheaper per follow-up than uncached retrieval</w:t>
      </w:r>
      <w:r>
        <w:rPr>
          <w:rFonts w:ascii="Calibri" w:cs="Calibri" w:eastAsia="Calibri" w:hAnsi="Calibri"/>
          <w:sz w:val="19"/>
          <w:szCs w:val="19"/>
        </w:rPr>
        <w:t xml:space="preserve"> — and better grounded, since nothing can be missed. The ~20× cache discount, not the retrieval, is what makes repeated questioning affordable. Caching is prefix-based, so stable content (system prompt, document) must precede the volatile question; cache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writes</w:t>
      </w:r>
      <w:r>
        <w:rPr>
          <w:rFonts w:ascii="Calibri" w:cs="Calibri" w:eastAsia="Calibri" w:hAnsi="Calibri"/>
          <w:sz w:val="19"/>
          <w:szCs w:val="19"/>
        </w:rPr>
        <w:t xml:space="preserve"> carry a premium over base input price, to be confirmed against current pricing at implementation.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Cheaper tiers (</w:t>
      </w:r>
      <w:r>
        <w:rPr>
          <w:rFonts w:ascii="Consolas" w:cs="Consolas" w:eastAsia="Consolas" w:hAnsi="Consolas"/>
          <w:sz w:val="18"/>
          <w:szCs w:val="18"/>
        </w:rPr>
        <w:t xml:space="preserve">claude-sonnet-5-5</w:t>
      </w:r>
      <w:r>
        <w:rPr>
          <w:rFonts w:ascii="Calibri" w:cs="Calibri" w:eastAsia="Calibri" w:hAnsi="Calibri"/>
          <w:sz w:val="19"/>
          <w:szCs w:val="19"/>
        </w:rPr>
        <w:t xml:space="preserve"> at $2/$10, </w:t>
      </w:r>
      <w:r>
        <w:rPr>
          <w:rFonts w:ascii="Consolas" w:cs="Consolas" w:eastAsia="Consolas" w:hAnsi="Consolas"/>
          <w:sz w:val="18"/>
          <w:szCs w:val="18"/>
        </w:rPr>
        <w:t xml:space="preserve">claude-haiku-4-5</w:t>
      </w:r>
      <w:r>
        <w:rPr>
          <w:rFonts w:ascii="Calibri" w:cs="Calibri" w:eastAsia="Calibri" w:hAnsi="Calibri"/>
          <w:sz w:val="19"/>
          <w:szCs w:val="19"/>
        </w:rPr>
        <w:t xml:space="preserve"> at $1/$5) are candidates for mechanical routes once quality is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measured</w:t>
      </w:r>
      <w:r>
        <w:rPr>
          <w:rFonts w:ascii="Calibri" w:cs="Calibri" w:eastAsia="Calibri" w:hAnsi="Calibri"/>
          <w:sz w:val="19"/>
          <w:szCs w:val="19"/>
        </w:rPr>
        <w:t xml:space="preserve"> per NFR-1, not assumed.</w:t>
      </w:r>
    </w:p>
    <w:p>
      <w:pPr>
        <w:pStyle w:val="Heading1"/>
        <w:pBdr>
          <w:bottom w:val="single" w:color="9AA0A6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 Trust, Privilege, and Professional Responsibility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8.1  No uncited assertions.</w:t>
      </w:r>
      <w:r>
        <w:rPr>
          <w:rFonts w:ascii="Calibri" w:cs="Calibri" w:eastAsia="Calibri" w:hAnsi="Calibri"/>
          <w:sz w:val="19"/>
          <w:szCs w:val="19"/>
        </w:rPr>
        <w:t xml:space="preserve"> The hard requirement (NFR-1). “The AI made it up” is not a defense that protects a law license.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8.2  Privilege and confidentiality.</w:t>
      </w:r>
      <w:r>
        <w:rPr>
          <w:rFonts w:ascii="Calibri" w:cs="Calibri" w:eastAsia="Calibri" w:hAnsi="Calibri"/>
          <w:sz w:val="19"/>
          <w:szCs w:val="19"/>
        </w:rPr>
        <w:t xml:space="preserve"> Uploaded documents are privileged attorney–client material — legally protected from disclosure. Hence NFR-7 and NFR-8, and hence the vendor constraint: with no first-party embedding model from the LLM provider, embeddings mean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second vendor processing privileged text</w:t>
      </w:r>
      <w:r>
        <w:rPr>
          <w:rFonts w:ascii="Calibri" w:cs="Calibri" w:eastAsia="Calibri" w:hAnsi="Calibri"/>
          <w:sz w:val="19"/>
          <w:szCs w:val="19"/>
        </w:rPr>
        <w:t xml:space="preserve">, requiring its own data-processing agreement. This is the one open compliance thread in the architecture (§9).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8.3  Unauthorized practice of law.</w:t>
      </w:r>
      <w:r>
        <w:rPr>
          <w:rFonts w:ascii="Calibri" w:cs="Calibri" w:eastAsia="Calibri" w:hAnsi="Calibri"/>
          <w:sz w:val="19"/>
          <w:szCs w:val="19"/>
        </w:rPr>
        <w:t xml:space="preserve"> Non-lawyers giving legal advice is prohibited, as is a tool positioning itself as the adviser. Legal Lens describes what documents say and never advises on what to do; drafts require attorney review and are labeled as such (FR-17).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8.4  Human in the loop.</w:t>
      </w:r>
      <w:r>
        <w:rPr>
          <w:rFonts w:ascii="Calibri" w:cs="Calibri" w:eastAsia="Calibri" w:hAnsi="Calibri"/>
          <w:sz w:val="19"/>
          <w:szCs w:val="19"/>
        </w:rPr>
        <w:t xml:space="preserve"> FR-19 is absolute across all phases. The output of Draft is text in an editor.</w:t>
      </w:r>
    </w:p>
    <w:p>
      <w:pPr>
        <w:pStyle w:val="Heading1"/>
        <w:pBdr>
          <w:bottom w:val="single" w:color="9AA0A6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 Assumptions, Deferred Decisions, Risks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Assumptions</w:t>
      </w:r>
      <w:r>
        <w:rPr>
          <w:rFonts w:ascii="Calibri" w:cs="Calibri" w:eastAsia="Calibri" w:hAnsi="Calibri"/>
          <w:sz w:val="19"/>
          <w:szCs w:val="19"/>
        </w:rPr>
        <w:t xml:space="preserve"> — stated, not established; overrule any of them: US jurisdiction, general practice, English only; PDF/DOCX/TXT are sufficient inputs; </w:t>
      </w:r>
      <w:r>
        <w:rPr>
          <w:rFonts w:ascii="Consolas" w:cs="Consolas" w:eastAsia="Consolas" w:hAnsi="Consolas"/>
          <w:sz w:val="18"/>
          <w:szCs w:val="18"/>
        </w:rPr>
        <w:t xml:space="preserve">.docx</w:t>
      </w:r>
      <w:r>
        <w:rPr>
          <w:rFonts w:ascii="Calibri" w:cs="Calibri" w:eastAsia="Calibri" w:hAnsi="Calibri"/>
          <w:sz w:val="19"/>
          <w:szCs w:val="19"/>
        </w:rPr>
        <w:t xml:space="preserve"> is the export attorneys actually work in; the §6 targets are calibrated to be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defensible</w:t>
      </w:r>
      <w:r>
        <w:rPr>
          <w:rFonts w:ascii="Calibri" w:cs="Calibri" w:eastAsia="Calibri" w:hAnsi="Calibri"/>
          <w:sz w:val="19"/>
          <w:szCs w:val="19"/>
        </w:rPr>
        <w:t xml:space="preserve"> for a class demonstration, not derived from production load data.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Deferred:</w:t>
      </w:r>
      <w:r>
        <w:rPr>
          <w:rFonts w:ascii="Calibri" w:cs="Calibri" w:eastAsia="Calibri" w:hAnsi="Calibri"/>
          <w:sz w:val="19"/>
          <w:szCs w:val="19"/>
        </w:rPr>
        <w:t xml:space="preserve"> vector store, embedding model and vendor, chunking, prompt design (→ Technical Architecture Document, criteria in §4.3); authentication and multi-user (→ Phase 2); OCR (→ Phase 2, rejected in Phase 1 per FR-2).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Open thread:</w:t>
      </w:r>
      <w:r>
        <w:rPr>
          <w:rFonts w:ascii="Calibri" w:cs="Calibri" w:eastAsia="Calibri" w:hAnsi="Calibri"/>
          <w:sz w:val="19"/>
          <w:szCs w:val="19"/>
        </w:rPr>
        <w:t xml:space="preserve"> the embedding vendor’s data posture (§8.2) — a third-party embedding API with its own DPA, or locally-run open-weight embeddings so no second vendor sees document text. Unresolved.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588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fabricated citation reaches a filing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NFR-1 groundedness bar; native API citations; FR-17 draft labeling; FR-20 audit trail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Structured Summary and citations are mutually exclusive in one API call (§4.1)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Two-pass generation — ground the narrative with citations, then extract the 9 fields from the cited output. Resolve and test before Summary is built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Naive chunking splits a defined term from its definition, producing confidently wrong retrieval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Clause-aware chunking (§4.3); the §4.2 whole-document path avoids it entirely at Phase 1 sizes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Absence questions (“is there no liability cap?”) fail under retrieval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§4.2 whole-document path; FR-13 explicit absence reporting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scanned PDF ingests as empty text and the system answers confidently about nothing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FR-2 detect-and-reject; the silent-failure mode is worse than a clear rejection</w:t>
            </w:r>
          </w:p>
        </w:tc>
      </w:tr>
    </w:tbl>
    <w:p>
      <w:pPr>
        <w:pStyle w:val="Heading1"/>
        <w:pBdr>
          <w:bottom w:val="single" w:color="9AA0A6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  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rPr>
          <w:tblHeader/>
        </w:trPr>
        <w:tc>
          <w:tcPr>
            <w:tcW w:type="dxa" w:w="190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8180"/>
            <w:shd w:fill="EDEF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 — MVP</w:t>
            </w:r>
          </w:p>
        </w:tc>
        <w:tc>
          <w:tcPr>
            <w:tcW w:type="dxa" w:w="8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 user, no auth. Upload, Ask, Summary, Draft over uploaded documents, with citations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 — Firm</w:t>
            </w:r>
          </w:p>
        </w:tc>
        <w:tc>
          <w:tcPr>
            <w:tcW w:type="dxa" w:w="8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Authentication, per-user libraries, matters in the UI, shared documents, OCR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 — Corpus</w:t>
            </w:r>
          </w:p>
        </w:tc>
        <w:tc>
          <w:tcPr>
            <w:tcW w:type="dxa" w:w="8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Statutes and case law as a second retrieval scope; authority citations in Draft; citation verification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 — Agentic</w:t>
            </w:r>
          </w:p>
        </w:tc>
        <w:tc>
          <w:tcPr>
            <w:tcW w:type="dxa" w:w="8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Multi-agent workflows (research / draft / review). Out of scope now; the architecture must not foreclose it</w:t>
            </w:r>
          </w:p>
        </w:tc>
      </w:tr>
    </w:tbl>
    <w:p>
      <w:pPr>
        <w:pStyle w:val="Heading1"/>
        <w:pBdr>
          <w:bottom w:val="single" w:color="9AA0A6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11.  Glossary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Matter</w:t>
      </w:r>
      <w:r>
        <w:rPr>
          <w:rFonts w:ascii="Calibri" w:cs="Calibri" w:eastAsia="Calibri" w:hAnsi="Calibri"/>
          <w:sz w:val="19"/>
          <w:szCs w:val="19"/>
        </w:rPr>
        <w:t xml:space="preserve"> — one case or transaction; the unit documents group into.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Privilege</w:t>
      </w:r>
      <w:r>
        <w:rPr>
          <w:rFonts w:ascii="Calibri" w:cs="Calibri" w:eastAsia="Calibri" w:hAnsi="Calibri"/>
          <w:sz w:val="19"/>
          <w:szCs w:val="19"/>
        </w:rPr>
        <w:t xml:space="preserve"> — legal protection making attorney–client communication non-disclosable.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UPL</w:t>
      </w:r>
      <w:r>
        <w:rPr>
          <w:rFonts w:ascii="Calibri" w:cs="Calibri" w:eastAsia="Calibri" w:hAnsi="Calibri"/>
          <w:sz w:val="19"/>
          <w:szCs w:val="19"/>
        </w:rPr>
        <w:t xml:space="preserve"> — unauthorized practice of law.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Pleadings</w:t>
      </w:r>
      <w:r>
        <w:rPr>
          <w:rFonts w:ascii="Calibri" w:cs="Calibri" w:eastAsia="Calibri" w:hAnsi="Calibri"/>
          <w:sz w:val="19"/>
          <w:szCs w:val="19"/>
        </w:rPr>
        <w:t xml:space="preserve"> — formal court filings defining a dispute.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Discovery</w:t>
      </w:r>
      <w:r>
        <w:rPr>
          <w:rFonts w:ascii="Calibri" w:cs="Calibri" w:eastAsia="Calibri" w:hAnsi="Calibri"/>
          <w:sz w:val="19"/>
          <w:szCs w:val="19"/>
        </w:rPr>
        <w:t xml:space="preserve"> — the evidence-exchange phase; source of the largest document volumes.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MSA</w:t>
      </w:r>
      <w:r>
        <w:rPr>
          <w:rFonts w:ascii="Calibri" w:cs="Calibri" w:eastAsia="Calibri" w:hAnsi="Calibri"/>
          <w:sz w:val="19"/>
          <w:szCs w:val="19"/>
        </w:rPr>
        <w:t xml:space="preserve"> — Master Services Agreement, a long-form commercial contract.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Indemnification</w:t>
      </w:r>
      <w:r>
        <w:rPr>
          <w:rFonts w:ascii="Calibri" w:cs="Calibri" w:eastAsia="Calibri" w:hAnsi="Calibri"/>
          <w:sz w:val="19"/>
          <w:szCs w:val="19"/>
        </w:rPr>
        <w:t xml:space="preserve"> — a contractual promise to cover another party’s losses.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Governing law</w:t>
      </w:r>
      <w:r>
        <w:rPr>
          <w:rFonts w:ascii="Calibri" w:cs="Calibri" w:eastAsia="Calibri" w:hAnsi="Calibri"/>
          <w:sz w:val="19"/>
          <w:szCs w:val="19"/>
        </w:rPr>
        <w:t xml:space="preserve"> — which jurisdiction’s law interprets the contract.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Legal memorandum</w:t>
      </w:r>
      <w:r>
        <w:rPr>
          <w:rFonts w:ascii="Calibri" w:cs="Calibri" w:eastAsia="Calibri" w:hAnsi="Calibri"/>
          <w:sz w:val="19"/>
          <w:szCs w:val="19"/>
        </w:rPr>
        <w:t xml:space="preserve"> — an internal written analysis; the primary Draft output.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Lens - Product &amp; Functional Specification</dc:title>
  <dc:creator>H. Suravar</dc:creator>
  <dc:description>Hybrid BRD/PRD/FRD for the Legal Lens course project</dc:description>
  <cp:lastModifiedBy>Un-named</cp:lastModifiedBy>
  <cp:revision>1</cp:revision>
  <dcterms:created xsi:type="dcterms:W3CDTF">2026-10-01T23:07:15.076Z</dcterms:created>
  <dcterms:modified xsi:type="dcterms:W3CDTF">2026-10-01T23:07:15.080Z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