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lang w:val="en-US" w:eastAsia="zh-CN"/>
        </w:rPr>
      </w:pPr>
      <w:r>
        <w:rPr>
          <w:rFonts w:hint="eastAsia"/>
          <w:sz w:val="28"/>
          <w:szCs w:val="36"/>
          <w:lang w:val="en-US" w:eastAsia="zh-CN"/>
        </w:rPr>
        <w:t>成本核算</w:t>
      </w:r>
    </w:p>
    <w:p>
      <w:pPr>
        <w:pStyle w:val="2"/>
        <w:bidi w:val="0"/>
        <w:rPr>
          <w:rFonts w:hint="eastAsia"/>
          <w:lang w:val="en-US" w:eastAsia="zh-CN"/>
        </w:rPr>
      </w:pPr>
      <w:r>
        <w:rPr>
          <w:rFonts w:hint="eastAsia"/>
          <w:lang w:val="en-US" w:eastAsia="zh-CN"/>
        </w:rPr>
        <w:t>概述</w:t>
      </w:r>
    </w:p>
    <w:p>
      <w:pPr>
        <w:pStyle w:val="14"/>
        <w:bidi w:val="0"/>
      </w:pPr>
      <w:r>
        <w:t>是指将企业在生产经营过程中发生的各种耗费按照一定的对象进行分配和归集，以计算总成本和单位成本。成本核算通常以会计核算为基础，以货币为计算单位</w:t>
      </w:r>
    </w:p>
    <w:p>
      <w:pPr>
        <w:pStyle w:val="14"/>
        <w:bidi w:val="0"/>
        <w:rPr>
          <w:rFonts w:hint="eastAsia"/>
          <w:lang w:val="en-US" w:eastAsia="zh-CN"/>
        </w:rPr>
      </w:pPr>
      <w:r>
        <w:rPr>
          <w:rFonts w:hint="eastAsia"/>
          <w:lang w:val="en-US" w:eastAsia="zh-CN"/>
        </w:rPr>
        <w:t>步骤</w:t>
      </w:r>
    </w:p>
    <w:p>
      <w:pPr>
        <w:keepNext w:val="0"/>
        <w:keepLines w:val="0"/>
        <w:widowControl/>
        <w:suppressLineNumbers w:val="0"/>
        <w:shd w:val="clear" w:fill="FFFFFF"/>
        <w:spacing w:after="180" w:afterAutospacing="0" w:line="288" w:lineRule="atLeast"/>
        <w:ind w:left="0" w:firstLine="420"/>
        <w:jc w:val="left"/>
        <w:rPr>
          <w:rFonts w:hint="default"/>
          <w:lang w:val="en-US" w:eastAsia="zh-CN"/>
        </w:rPr>
      </w:pPr>
      <w:r>
        <w:rPr>
          <w:rFonts w:hint="default" w:ascii="Helvetica" w:hAnsi="Helvetica" w:eastAsia="Helvetica" w:cs="Helvetica"/>
          <w:i w:val="0"/>
          <w:iCs w:val="0"/>
          <w:caps w:val="0"/>
          <w:color w:val="333333"/>
          <w:spacing w:val="0"/>
          <w:kern w:val="0"/>
          <w:sz w:val="16"/>
          <w:szCs w:val="16"/>
          <w:shd w:val="clear" w:fill="FFFFFF"/>
          <w:lang w:val="en-US" w:eastAsia="zh-CN" w:bidi="ar"/>
        </w:rPr>
        <w:t>进行成本核算，首先审核</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"https://baike.baidu.com/item/%E7%94%9F%E4%BA%A7%E7%BB%8F%E8%90%A5%E7%AE%A1%E7%90%86%E8%B4%B9%E7%94%A8/9125754"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生产经营管理费用</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，看其已否发生，是否应当发生，已发生的是否应当计入产品成本，实现对生产经营</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"https://baike.baidu.com/item/%E7%AE%A1%E7%90%86%E8%B4%B9%E7%94%A8"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管理费用</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和产品成本直接的管理和控制。其次对已发生的费用按照用途进行分配和归集，计算各种产品的</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"https://baike.baidu.com/item/%E6%80%BB%E6%88%90%E6%9C%AC/3126028"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总成本</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和</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"https://baike.baidu.com/item/%E5%8D%95%E4%BD%8D%E6%88%90%E6%9C%AC/2723110"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单位成本</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，为</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"https://baike.baidu.com/item/%E6%88%90%E6%9C%AC%E7%AE%A1%E7%90%86/2073516"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成本管理</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提供真实的成本资料。</w:t>
      </w:r>
    </w:p>
    <w:p>
      <w:pPr>
        <w:pStyle w:val="2"/>
        <w:bidi w:val="0"/>
        <w:rPr>
          <w:rFonts w:hint="default"/>
          <w:lang w:val="en-US" w:eastAsia="zh-CN"/>
        </w:rPr>
      </w:pPr>
      <w:r>
        <w:rPr>
          <w:rFonts w:hint="eastAsia"/>
          <w:lang w:val="en-US" w:eastAsia="zh-CN"/>
        </w:rPr>
        <w:t>目标</w:t>
      </w:r>
    </w:p>
    <w:p>
      <w:pPr>
        <w:pStyle w:val="2"/>
        <w:bidi w:val="0"/>
        <w:rPr>
          <w:rFonts w:hint="default"/>
          <w:lang w:val="en-US" w:eastAsia="zh-CN"/>
        </w:rPr>
      </w:pPr>
      <w:r>
        <w:rPr>
          <w:rFonts w:hint="eastAsia"/>
          <w:lang w:val="en-US" w:eastAsia="zh-CN"/>
        </w:rPr>
        <w:t>功能</w:t>
      </w:r>
    </w:p>
    <w:p>
      <w:pPr>
        <w:pStyle w:val="2"/>
        <w:bidi w:val="0"/>
        <w:rPr>
          <w:rFonts w:hint="eastAsia"/>
          <w:lang w:val="en-US" w:eastAsia="zh-CN"/>
        </w:rPr>
      </w:pPr>
      <w:r>
        <w:rPr>
          <w:rFonts w:hint="eastAsia"/>
          <w:lang w:val="en-US" w:eastAsia="zh-CN"/>
        </w:rPr>
        <w:t>步骤</w:t>
      </w:r>
    </w:p>
    <w:p>
      <w:pPr>
        <w:keepNext w:val="0"/>
        <w:keepLines w:val="0"/>
        <w:widowControl/>
        <w:suppressLineNumbers w:val="0"/>
        <w:shd w:val="clear" w:fill="FFFFFF"/>
        <w:spacing w:after="180" w:afterAutospacing="0" w:line="288" w:lineRule="atLeast"/>
        <w:ind w:left="0" w:firstLine="42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shd w:val="clear" w:fill="FFFFFF"/>
          <w:lang w:val="en-US" w:eastAsia="zh-CN" w:bidi="ar"/>
        </w:rPr>
        <w:t>1．生产费用支出的审核。对发生的各项生产费用支出，应根据国家、</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"https://baike.baidu.com/item/%E4%B8%8A%E7%BA%A7%E4%B8%BB%E7%AE%A1%E9%83%A8%E9%97%A8"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上级主管部门</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和该企业的有关制度、规定进行严格审核，以便对不符合制度和规定的费用，以及各种浪费，损失等加以制止或追究经济责任。</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shd w:val="clear" w:fill="FFFFFF"/>
          <w:lang w:val="en-US" w:eastAsia="zh-CN" w:bidi="ar"/>
        </w:rPr>
        <w:t>2．确定</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"https://baike.baidu.com/item/%E6%88%90%E6%9C%AC%E8%AE%A1%E7%AE%97%E5%AF%B9%E8%B1%A1"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成本计算对象</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和</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"https://baike.baidu.com/item/%E6%88%90%E6%9C%AC%E9%A1%B9%E7%9B%AE"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成本项目</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，开设产品成本</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"https://baike.baidu.com/item/%E6%98%8E%E7%BB%86%E8%B4%A6"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明细账</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。企业的</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"https://baike.baidu.com/item/%E7%94%9F%E4%BA%A7%E7%B1%BB%E5%9E%8B"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生产类型</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不同，对成本管理的要求不同，成本计算对象和成本项目也就有所不同，应根据企业生产类型的特点和对成本管理的要求，确定成本计算对象和成本项目，并根据确定的成本计算对象开设产品成本明细账。</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shd w:val="clear" w:fill="FFFFFF"/>
          <w:lang w:val="en-US" w:eastAsia="zh-CN" w:bidi="ar"/>
        </w:rPr>
        <w:t>3．进行</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"https://baike.baidu.com/item/%E8%A6%81%E7%B4%A0%E8%B4%B9%E7%94%A8"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要素费用</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的分配。对发生的各项要素费用进行汇总，编制各种要素费用分配表，按其用途分配计入有关的</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"https://baike.baidu.com/item/%E7%94%9F%E4%BA%A7%E6%88%90%E6%9C%AC%E6%98%8E%E7%BB%86%E8%B4%A6/15403783"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生产成本明细账</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。对能确认某一成本计算对象耗用的</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"https://baike.baidu.com/item/%E7%9B%B4%E6%8E%A5%E8%AE%A1%E5%85%A5%E8%B4%B9%E7%94%A8"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直接计入费用</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，如</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"https://baike.baidu.com/item/%E7%9B%B4%E6%8E%A5%E6%9D%90%E6%96%99"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直接材料</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"https://baike.baidu.com/item/%E7%9B%B4%E6%8E%A5%E5%B7%A5%E8%B5%84"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直接工资</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，应直接记入“生产成本--</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"https://baike.baidu.com/item/%E5%9F%BA%E6%9C%AC%E7%94%9F%E4%BA%A7%E6%88%90%E6%9C%AC"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基本生产成本</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"https://baike.baidu.com/item/%E8%B4%A6%E6%88%B7"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账户</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及其有关的产品成本明细账；对于不能确认某一费用，则应按其发生的地噗或用途进行归集分配，分别记入“</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"https://baike.baidu.com/item/%E5%88%B6%E9%80%A0%E8%B4%B9%E7%94%A8"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制造费用</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”、“生产成本--</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"https://baike.baidu.com/item/%E8%BE%85%E5%8A%A9%E7%94%9F%E4%BA%A7%E6%88%90%E6%9C%AC"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辅助生产成本</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”和“</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"https://baike.baidu.com/item/%E5%BA%9F%E5%93%81%E6%8D%9F%E5%A4%B1"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废品损失</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”等综合费用账户。</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shd w:val="clear" w:fill="FFFFFF"/>
          <w:lang w:val="en-US" w:eastAsia="zh-CN" w:bidi="ar"/>
        </w:rPr>
        <w:t>4．进行综合费用的分配。对记入“制造费用”、“生产成本--辅助生产成本”和“废品损失”等账户的综合费用，月终采用一定的分配方法进行分配，并记入“生产成本--基本生产成本”以及有关的产品成本明细账。</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shd w:val="clear" w:fill="FFFFFF"/>
          <w:lang w:val="en-US" w:eastAsia="zh-CN" w:bidi="ar"/>
        </w:rPr>
        <w:t>5．进行完工产品成本与</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"https://baike.baidu.com/item/%E5%9C%A8%E4%BA%A7%E5%93%81"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在产品</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成本的划分。通过</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"https://baike.baidu.com/item/%E8%A6%81%E7%B4%A0%E8%B4%B9%E7%94%A8"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要素费用</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和综合费用的分配，所发生的各项生产费用的分配，所发生的各项生产费用均已归集在“生产成本- -</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"https://baike.baidu.com/item/%E5%9F%BA%E6%9C%AC%E7%94%9F%E4%BA%A7%E6%88%90%E6%9C%AC"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基本生产成本</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”账户及有关的产品本</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"https://baike.baidu.com/item/%E6%98%8E%E7%BB%86%E8%B4%A6"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明细账</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中。在没有在产品的情况下，产品成本明细账所归集的生产费用即为</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"https://baike.baidu.com/item/%E5%AE%8C%E5%B7%A5%E4%BA%A7%E5%93%81"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完工产品</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总成本；在有在产品的情况下，就需将产品成本明细账所归集的生产费用按一定的划分方法在完工产品和月末在产品之间进行划分，从而计算出完工产品成本和月末在产品成本。</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shd w:val="clear" w:fill="FFFFFF"/>
          <w:lang w:val="en-US" w:eastAsia="zh-CN" w:bidi="ar"/>
        </w:rPr>
        <w:t>6．计算产品的总成本和单位成本。在品种法、分批法下，产品成本明细账中计算出的完工产品成本即为产品的总成本；</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"https://baike.baidu.com/item/%E5%88%86%E6%AD%A5%E6%B3%95"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分步法</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下，则需根据各生产步骤成本明细账进行顺序逐步结转或平行汇总，才能计算出产品的总成本。以产品的总成本除以产品的数量，就可以计算出产品的单位成本。</w:t>
      </w:r>
    </w:p>
    <w:p>
      <w:pPr>
        <w:rPr>
          <w:rFonts w:hint="eastAsia"/>
          <w:lang w:val="en-US" w:eastAsia="zh-CN"/>
        </w:rPr>
      </w:pPr>
      <w:bookmarkStart w:id="0" w:name="_GoBack"/>
      <w:bookmarkEnd w:id="0"/>
    </w:p>
    <w:p>
      <w:pPr>
        <w:pStyle w:val="2"/>
        <w:bidi w:val="0"/>
        <w:rPr>
          <w:rFonts w:hint="eastAsia"/>
          <w:lang w:val="en-US" w:eastAsia="zh-CN"/>
        </w:rPr>
      </w:pPr>
      <w:r>
        <w:rPr>
          <w:rFonts w:hint="default"/>
          <w:lang w:val="en-US" w:eastAsia="zh-CN"/>
        </w:rPr>
        <w:t>成本核算</w:t>
      </w:r>
      <w:r>
        <w:rPr>
          <w:rFonts w:hint="eastAsia"/>
          <w:lang w:val="en-US" w:eastAsia="zh-CN"/>
        </w:rPr>
        <w:t>方法</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shd w:val="clear" w:fill="FFFFFF"/>
          <w:lang w:val="en-US" w:eastAsia="zh-CN" w:bidi="ar"/>
        </w:rPr>
        <w:t>1．设立材料明细帐，按主材，辅材分类</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shd w:val="clear" w:fill="FFFFFF"/>
          <w:lang w:val="en-US" w:eastAsia="zh-CN" w:bidi="ar"/>
        </w:rPr>
        <w:t>2．确定</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"https://baike.baidu.com/item/%E5%B7%A5%E6%97%B6"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工时</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"https://baike.baidu.com/item/%E5%8D%95%E8%80%97"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单耗</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(可以是计划工时，也可是实际工时)</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shd w:val="clear" w:fill="FFFFFF"/>
          <w:lang w:val="en-US" w:eastAsia="zh-CN" w:bidi="ar"/>
        </w:rPr>
        <w:t>3．按生产计划(或作业单)投料</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shd w:val="clear" w:fill="FFFFFF"/>
          <w:lang w:val="en-US" w:eastAsia="zh-CN" w:bidi="ar"/>
        </w:rPr>
        <w:t>4．汇总</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"https://baike.baidu.com/item/%E7%9B%B4%E6%8E%A5%E8%B4%B9%E7%94%A8"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直接费用</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，(动力费，制造费，直接人工费),并按工时分摊费用.</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shd w:val="clear" w:fill="FFFFFF"/>
          <w:lang w:val="en-US" w:eastAsia="zh-CN" w:bidi="ar"/>
        </w:rPr>
        <w:t>5．按完工产品品种数量结转完工成本(在产品材料核算可以分步投料或全额投料或约当比例，</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"https://baike.baidu.com/item/%E7%94%9F%E4%BA%A7%E5%91%A8%E6%9C%9F"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生产周期</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短的在产品可以不分摊费用，待完工时时在分摊费用)</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shd w:val="clear" w:fill="FFFFFF"/>
          <w:lang w:val="en-US" w:eastAsia="zh-CN" w:bidi="ar"/>
        </w:rPr>
        <w:t>6．期初在产+本期投产-本期完工=本期在产(生产成本</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instrText xml:space="preserve"> HYPERLINK "https://baike.baidu.com/item/%E5%80%9F%E6%96%B9%E4%BD%99%E9%A2%9D" \t "https://baike.baidu.com/item/_blank" </w:instrTex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separate"/>
      </w:r>
      <w:r>
        <w:rPr>
          <w:rStyle w:val="13"/>
          <w:rFonts w:hint="default" w:ascii="Helvetica" w:hAnsi="Helvetica" w:eastAsia="Helvetica" w:cs="Helvetica"/>
          <w:i w:val="0"/>
          <w:iCs w:val="0"/>
          <w:caps w:val="0"/>
          <w:color w:val="136EC2"/>
          <w:spacing w:val="0"/>
          <w:sz w:val="16"/>
          <w:szCs w:val="16"/>
          <w:u w:val="none"/>
          <w:shd w:val="clear" w:fill="FFFFFF"/>
        </w:rPr>
        <w:t>借方余额</w:t>
      </w:r>
      <w:r>
        <w:rPr>
          <w:rFonts w:hint="default" w:ascii="Helvetica" w:hAnsi="Helvetica" w:eastAsia="Helvetica" w:cs="Helvetica"/>
          <w:i w:val="0"/>
          <w:iCs w:val="0"/>
          <w:caps w:val="0"/>
          <w:color w:val="136EC2"/>
          <w:spacing w:val="0"/>
          <w:kern w:val="0"/>
          <w:sz w:val="16"/>
          <w:szCs w:val="16"/>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shd w:val="clear" w:fill="FFFFFF"/>
          <w:lang w:val="en-US" w:eastAsia="zh-CN" w:bidi="ar"/>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4BF4E4"/>
    <w:multiLevelType w:val="multilevel"/>
    <w:tmpl w:val="4D4BF4E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466B4C"/>
    <w:rsid w:val="33B645E2"/>
    <w:rsid w:val="3F18015E"/>
    <w:rsid w:val="400E1E6E"/>
    <w:rsid w:val="45C21C7C"/>
    <w:rsid w:val="4D037BC9"/>
    <w:rsid w:val="61790DD9"/>
    <w:rsid w:val="64974FBB"/>
    <w:rsid w:val="6AB71620"/>
    <w:rsid w:val="7A754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50" w:beforeLines="50" w:beforeAutospacing="0" w:afterLines="0" w:afterAutospacing="0" w:line="480" w:lineRule="auto"/>
      <w:outlineLvl w:val="0"/>
    </w:pPr>
    <w:rPr>
      <w:rFonts w:ascii="Calibri" w:hAnsi="Calibri" w:eastAsia="宋体" w:cs="Times New Roman"/>
      <w:b/>
      <w:kern w:val="44"/>
      <w:sz w:val="32"/>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outlineLvl w:val="1"/>
    </w:pPr>
    <w:rPr>
      <w:rFonts w:ascii="Arial" w:hAnsi="Arial" w:eastAsia="黑体" w:cs="Times New Roman"/>
      <w:b/>
      <w:sz w:val="28"/>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character" w:styleId="13">
    <w:name w:val="Hyperlink"/>
    <w:basedOn w:val="12"/>
    <w:uiPriority w:val="0"/>
    <w:rPr>
      <w:color w:val="0000FF"/>
      <w:u w:val="single"/>
    </w:rPr>
  </w:style>
  <w:style w:type="paragraph" w:customStyle="1" w:styleId="14">
    <w:name w:val="0正文"/>
    <w:basedOn w:val="1"/>
    <w:uiPriority w:val="0"/>
    <w:pPr>
      <w:ind w:firstLine="883" w:firstLineChars="200"/>
    </w:pPr>
    <w:rPr>
      <w:rFonts w:hint="eastAsia" w:ascii="宋体" w:hAnsi="宋体" w:eastAsia="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2021-08-28T08:14:00Z</dcterms:created>
  <dc:creator>hanrker</dc:creator>
  <cp:lastModifiedBy>韩瑞凯</cp:lastModifiedBy>
  <dcterms:modified xsi:type="dcterms:W3CDTF">2021-11-17T13:18:54Z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602D26C0D0EF40CDAC221E0FDF7984A3</vt:lpwstr>
  </property>
</Properties>
</file>