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8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"/>
        <w:gridCol w:w="359"/>
        <w:gridCol w:w="359"/>
        <w:gridCol w:w="348"/>
        <w:gridCol w:w="348"/>
        <w:gridCol w:w="348"/>
        <w:gridCol w:w="335"/>
        <w:gridCol w:w="372"/>
        <w:gridCol w:w="372"/>
        <w:gridCol w:w="372"/>
        <w:gridCol w:w="348"/>
        <w:gridCol w:w="348"/>
        <w:gridCol w:w="348"/>
        <w:gridCol w:w="348"/>
        <w:gridCol w:w="335"/>
        <w:gridCol w:w="348"/>
        <w:gridCol w:w="348"/>
        <w:gridCol w:w="348"/>
        <w:gridCol w:w="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59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59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35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72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72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72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35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  <w:tc>
          <w:tcPr>
            <w:tcW w:w="348" w:type="dxa"/>
          </w:tcPr>
          <w:p>
            <w:pPr>
              <w:spacing w:line="520" w:lineRule="exact"/>
              <w:rPr>
                <w:sz w:val="15"/>
              </w:rPr>
            </w:pPr>
          </w:p>
        </w:tc>
      </w:tr>
    </w:tbl>
    <w:p>
      <w:pPr>
        <w:rPr>
          <w:rFonts w:eastAsia="黑体"/>
          <w:sz w:val="52"/>
        </w:rPr>
      </w:pPr>
      <w:r>
        <w:rPr>
          <w:rFonts w:hint="eastAsia"/>
          <w:sz w:val="28"/>
          <w:szCs w:val="28"/>
        </w:rPr>
        <w:t>合同编号：</w:t>
      </w:r>
    </w:p>
    <w:p>
      <w:pPr>
        <w:rPr>
          <w:rFonts w:eastAsia="黑体"/>
          <w:sz w:val="52"/>
        </w:rPr>
      </w:pPr>
    </w:p>
    <w:p>
      <w:pPr>
        <w:rPr>
          <w:rFonts w:eastAsia="黑体"/>
          <w:sz w:val="52"/>
        </w:rPr>
      </w:pPr>
    </w:p>
    <w:p>
      <w:pPr>
        <w:widowControl/>
        <w:shd w:val="clear" w:color="auto" w:fill="FFFFFF"/>
        <w:spacing w:line="600" w:lineRule="atLeast"/>
        <w:jc w:val="center"/>
        <w:outlineLvl w:val="0"/>
        <w:rPr>
          <w:rFonts w:ascii="Tahoma" w:hAnsi="Tahoma" w:eastAsia="宋体" w:cs="Tahoma"/>
          <w:b/>
          <w:bCs/>
          <w:color w:val="333333"/>
          <w:kern w:val="36"/>
          <w:sz w:val="42"/>
          <w:szCs w:val="42"/>
        </w:rPr>
      </w:pPr>
      <w:r>
        <w:rPr>
          <w:rFonts w:hint="eastAsia" w:eastAsia="黑体"/>
          <w:b/>
          <w:bCs/>
          <w:sz w:val="36"/>
          <w:szCs w:val="36"/>
        </w:rPr>
        <w:t xml:space="preserve"> </w:t>
      </w:r>
      <w:r>
        <w:rPr>
          <w:rFonts w:hint="eastAsia" w:ascii="Tahoma" w:hAnsi="Tahoma" w:eastAsia="宋体" w:cs="Tahoma"/>
          <w:b/>
          <w:bCs/>
          <w:color w:val="333333"/>
          <w:kern w:val="36"/>
          <w:sz w:val="42"/>
          <w:szCs w:val="42"/>
        </w:rPr>
        <w:t>装建云-</w:t>
      </w:r>
    </w:p>
    <w:p>
      <w:pPr>
        <w:widowControl/>
        <w:shd w:val="clear" w:color="auto" w:fill="FFFFFF"/>
        <w:spacing w:line="600" w:lineRule="atLeast"/>
        <w:jc w:val="center"/>
        <w:outlineLvl w:val="0"/>
        <w:rPr>
          <w:rFonts w:ascii="Tahoma" w:hAnsi="Tahoma" w:eastAsia="宋体" w:cs="Tahoma"/>
          <w:b/>
          <w:bCs/>
          <w:color w:val="333333"/>
          <w:kern w:val="36"/>
          <w:sz w:val="42"/>
          <w:szCs w:val="42"/>
        </w:rPr>
      </w:pPr>
      <w:r>
        <w:rPr>
          <w:rFonts w:hint="eastAsia" w:ascii="Tahoma" w:hAnsi="Tahoma" w:eastAsia="宋体" w:cs="Tahoma"/>
          <w:b/>
          <w:bCs/>
          <w:color w:val="333333"/>
          <w:kern w:val="36"/>
          <w:sz w:val="42"/>
          <w:szCs w:val="42"/>
        </w:rPr>
        <w:t>混凝土构件生产管理系统合作协议</w:t>
      </w:r>
    </w:p>
    <w:p>
      <w:pPr>
        <w:jc w:val="center"/>
        <w:rPr>
          <w:rFonts w:eastAsia="楷体_GB2312"/>
          <w:sz w:val="36"/>
          <w:szCs w:val="36"/>
        </w:rPr>
      </w:pPr>
    </w:p>
    <w:p>
      <w:pPr>
        <w:jc w:val="center"/>
        <w:rPr>
          <w:rFonts w:eastAsia="楷体_GB2312"/>
          <w:sz w:val="36"/>
        </w:rPr>
      </w:pPr>
    </w:p>
    <w:p>
      <w:pPr>
        <w:jc w:val="center"/>
        <w:rPr>
          <w:rFonts w:eastAsia="楷体_GB2312"/>
          <w:sz w:val="36"/>
        </w:rPr>
      </w:pPr>
    </w:p>
    <w:p>
      <w:pPr>
        <w:spacing w:line="312" w:lineRule="auto"/>
        <w:rPr>
          <w:b/>
          <w:bCs/>
          <w:sz w:val="32"/>
          <w:szCs w:val="32"/>
        </w:rPr>
      </w:pPr>
    </w:p>
    <w:p>
      <w:pPr>
        <w:spacing w:line="312" w:lineRule="auto"/>
        <w:rPr>
          <w:b/>
          <w:bCs/>
          <w:sz w:val="32"/>
          <w:szCs w:val="32"/>
        </w:rPr>
      </w:pPr>
    </w:p>
    <w:p>
      <w:pPr>
        <w:spacing w:line="312" w:lineRule="auto"/>
        <w:rPr>
          <w:b/>
          <w:bCs/>
          <w:sz w:val="32"/>
          <w:szCs w:val="32"/>
        </w:rPr>
      </w:pPr>
    </w:p>
    <w:p>
      <w:pPr>
        <w:spacing w:line="312" w:lineRule="auto"/>
        <w:ind w:firstLine="600" w:firstLineChars="200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甲方：</w:t>
      </w:r>
      <w:r>
        <w:rPr>
          <w:rFonts w:hint="eastAsia" w:ascii="仿宋" w:hAnsi="仿宋" w:eastAsia="仿宋" w:cs="仿宋"/>
          <w:sz w:val="30"/>
          <w:szCs w:val="30"/>
          <w:u w:val="single"/>
        </w:rPr>
        <w:t>住房和城乡建设部科技与产业化发展中心</w:t>
      </w:r>
    </w:p>
    <w:p>
      <w:pPr>
        <w:spacing w:line="312" w:lineRule="auto"/>
        <w:ind w:firstLine="600" w:firstLineChars="20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乙方：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河北新大地机电制造有限公司 </w:t>
      </w:r>
    </w:p>
    <w:p>
      <w:pPr>
        <w:spacing w:line="312" w:lineRule="auto"/>
        <w:ind w:firstLine="600" w:firstLineChars="20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丙方：</w:t>
      </w:r>
      <w:r>
        <w:rPr>
          <w:rFonts w:ascii="仿宋" w:hAnsi="仿宋" w:eastAsia="仿宋" w:cs="仿宋"/>
          <w:sz w:val="30"/>
          <w:szCs w:val="30"/>
          <w:u w:val="single"/>
        </w:rPr>
        <w:t>北京和创云筑科技有限公司</w:t>
      </w:r>
    </w:p>
    <w:p>
      <w:pPr>
        <w:spacing w:line="312" w:lineRule="auto"/>
        <w:ind w:firstLine="600" w:firstLineChars="200"/>
        <w:rPr>
          <w:rFonts w:ascii="仿宋" w:hAnsi="仿宋" w:eastAsia="仿宋" w:cs="仿宋"/>
          <w:sz w:val="30"/>
          <w:szCs w:val="30"/>
          <w:u w:val="single"/>
        </w:rPr>
      </w:pPr>
    </w:p>
    <w:p>
      <w:pPr>
        <w:spacing w:line="312" w:lineRule="auto"/>
        <w:ind w:firstLine="600" w:firstLineChars="20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签订时间：</w:t>
      </w:r>
      <w:r>
        <w:rPr>
          <w:rFonts w:hint="eastAsia"/>
          <w:bCs/>
          <w:sz w:val="30"/>
          <w:szCs w:val="30"/>
          <w:u w:val="single"/>
        </w:rPr>
        <w:t xml:space="preserve"> 20</w:t>
      </w:r>
      <w:r>
        <w:rPr>
          <w:bCs/>
          <w:sz w:val="30"/>
          <w:szCs w:val="30"/>
          <w:u w:val="single"/>
        </w:rPr>
        <w:t>20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年  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月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</w:t>
      </w:r>
    </w:p>
    <w:p>
      <w:pPr>
        <w:ind w:firstLine="600" w:firstLineChars="200"/>
        <w:rPr>
          <w:rFonts w:eastAsia="黑体"/>
          <w:sz w:val="36"/>
        </w:rPr>
      </w:pPr>
      <w:r>
        <w:rPr>
          <w:rFonts w:hint="eastAsia"/>
          <w:b/>
          <w:bCs/>
          <w:sz w:val="30"/>
          <w:szCs w:val="30"/>
        </w:rPr>
        <w:t>签订地点：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北京</w:t>
      </w: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   </w:t>
      </w:r>
    </w:p>
    <w:p>
      <w:pPr>
        <w:spacing w:line="520" w:lineRule="exact"/>
        <w:ind w:firstLine="482" w:firstLineChars="200"/>
        <w:rPr>
          <w:rFonts w:ascii="华文仿宋" w:hAnsi="华文仿宋" w:eastAsia="华文仿宋"/>
          <w:b/>
          <w:sz w:val="24"/>
          <w:szCs w:val="24"/>
        </w:rPr>
      </w:pPr>
    </w:p>
    <w:p>
      <w:pPr>
        <w:spacing w:line="520" w:lineRule="exact"/>
        <w:ind w:firstLine="482" w:firstLineChars="200"/>
        <w:rPr>
          <w:rFonts w:ascii="华文仿宋" w:hAnsi="华文仿宋" w:eastAsia="华文仿宋"/>
          <w:b/>
          <w:sz w:val="24"/>
          <w:szCs w:val="24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中华人民共和国科学技术部印制</w:t>
      </w:r>
    </w:p>
    <w:p>
      <w:pPr>
        <w:widowControl/>
        <w:shd w:val="clear" w:color="auto" w:fill="FFFFFF"/>
        <w:spacing w:line="600" w:lineRule="atLeast"/>
        <w:jc w:val="center"/>
        <w:outlineLvl w:val="0"/>
        <w:rPr>
          <w:rFonts w:ascii="Tahoma" w:hAnsi="Tahoma" w:eastAsia="宋体" w:cs="Tahoma"/>
          <w:color w:val="333333"/>
          <w:kern w:val="36"/>
          <w:sz w:val="42"/>
          <w:szCs w:val="42"/>
        </w:rPr>
      </w:pP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>根据平等自愿、有偿服务原则，住房和城乡建设部科技与产业化发展中心（以下简称甲方）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、河北新大地机电制造有限公司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（以下简称乙方）、北京和创云筑科技有限公司（以下简称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丙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方）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就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装建云-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混凝土构件生产管理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系统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合作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事宜，达成如下协议：</w:t>
      </w:r>
    </w:p>
    <w:p>
      <w:pPr>
        <w:widowControl/>
        <w:shd w:val="clear" w:color="auto" w:fill="FFFFFF"/>
        <w:wordWrap w:val="0"/>
        <w:spacing w:line="510" w:lineRule="atLeast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第一条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合作主题</w:t>
      </w:r>
    </w:p>
    <w:p>
      <w:pPr>
        <w:widowControl/>
        <w:shd w:val="clear" w:color="auto" w:fill="FFFFFF"/>
        <w:spacing w:line="510" w:lineRule="atLeast"/>
        <w:ind w:firstLine="480" w:firstLineChars="200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>甲乙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丙三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方就装建云-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混凝土构件生产管理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系统经过深入交流与协商，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三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方均同意建立密切的合作伙伴关系，以统一的市场形象来为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行业及企业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提供服务。</w:t>
      </w:r>
    </w:p>
    <w:p>
      <w:pPr>
        <w:widowControl/>
        <w:shd w:val="clear" w:color="auto" w:fill="FFFFFF"/>
        <w:wordWrap w:val="0"/>
        <w:spacing w:line="510" w:lineRule="atLeast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第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</w:rPr>
        <w:t>二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条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合作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</w:rPr>
        <w:t>内容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甲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方指导丙方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、乙方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开展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混凝土构件生产管理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系统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的建设、升级、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服务工作，对丙方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、乙方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履行本协议进行组织协调、监督管理。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none"/>
        </w:rPr>
        <w:t>乙方负责混凝土构件生产管理系统的M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none"/>
        </w:rPr>
        <w:t>ES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none"/>
        </w:rPr>
        <w:t>模块，丙方的M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none"/>
        </w:rPr>
        <w:t>ES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none"/>
        </w:rPr>
        <w:t>模块通过整体优化融入到混凝土构件生产管理系统，功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能包含：计划排产、生产过程（车间工艺布局、生产工艺、报检质检）、堆场规划与构件入库，功能服务面向企业生产车间。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丙方负责混凝土构件生产管理系统的模块包含：基础数据维护、订单管理（销售、采购）、物料管理、构件出库与运输、决策支持、文档管理、服务与互动、基础数据、流程管理，功能服务面向企业管理。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hint="eastAsia"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系统整合后，甲乙丙三方数据共享互通，把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</w:rPr>
        <w:t>混凝土构件生产管理系统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作为面向市场的唯一系统名称，乙方选用共同研发的系统，作为与设备配套的唯一系统。乙方、丙方有义务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eastAsia="zh-CN"/>
        </w:rPr>
        <w:t>将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自己负责建设的内容，对另一方进行公开培训，后期三方共同研究生产过程信息自动采集设备的研发及推广，共同成立课题组研究基于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BIM模型的标准特征库及与BIM信息与生产设备的标准接口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wordWrap w:val="0"/>
        <w:spacing w:line="510" w:lineRule="atLeast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第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eastAsia="zh-CN"/>
        </w:rPr>
        <w:t>三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条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费用分担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1、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系统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前期的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建设费用根据合作内容，分别自行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承担。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  <w:highlight w:val="none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2、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系统销售、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实施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、培训、运维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过程中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产生的费用，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none"/>
        </w:rPr>
        <w:t>按照谁销售谁负责的原则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none"/>
        </w:rPr>
        <w:t>。</w:t>
      </w:r>
    </w:p>
    <w:p>
      <w:pPr>
        <w:widowControl/>
        <w:shd w:val="clear" w:color="auto" w:fill="FFFFFF"/>
        <w:wordWrap w:val="0"/>
        <w:spacing w:line="510" w:lineRule="atLeast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第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eastAsia="zh-CN"/>
        </w:rPr>
        <w:t>四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条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权利和义务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1、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甲方的权利和义务：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(1)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指导乙方、丙方开展系统研发应用、推广维护工作。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(2)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对乙方、丙方履行本协议进行组织协调、监督管理。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(3)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获得约定比例的系统维护费用收入。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(4)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负责本单位人员、系统软硬件投入和相关支持。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(5)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负责提供系统域名、承担系统运行、数据存储服务器费用。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2、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乙方的权利和义务：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wordWrap w:val="0"/>
        <w:spacing w:line="510" w:lineRule="atLeast"/>
        <w:ind w:leftChars="0" w:firstLine="480" w:firstLineChars="200"/>
        <w:jc w:val="left"/>
        <w:rPr>
          <w:rFonts w:hint="eastAsia"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(1)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在甲方的指导下，与丙方共同研发系统，负责乙方建设模块的安全稳定运行并提供优质的客户服务。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wordWrap w:val="0"/>
        <w:spacing w:line="510" w:lineRule="atLeast"/>
        <w:ind w:leftChars="0"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(2)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按照“好用、有用、管用”的原则和软件开发规范化流程，提供合格的软件产品和相应的建设方案、数据标准、操作手册等文档资料，并有甲方组织专家鉴定。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(3)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根据客户反馈意见，对负责建设的功能提出解决方案，并进行开发完善。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(4)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获得约定比例的系统维护费用收入。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(5)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负责本单位人员、系统软硬件投入和相关支持。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(6)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有权对甲方的应用推广工作提出建议。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(7)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对甲方、丙方以及客户提出的建议、意见应在1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5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工作日内予以答复。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val="en-US" w:eastAsia="zh-CN"/>
        </w:rPr>
        <w:t>3、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丙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方的权利和义务：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(1)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在甲方的指导下，与乙方共同研发系统，负责丙方建设模块的安全稳定运行并提供优质的客户服务。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(2)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按照“好用、有用、管用”的原则和软件开发规范化流程，提供合格的软件产品和相应的建设方案、数据标准、操作手册等文档资料，并有甲方组织专家鉴定。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(3)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根据客户反馈意见，对负责建设的功能提出解决方案，并进行开发完善。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(4)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获得约定比例的系统维护费用收入。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(5)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负责本单位人员、系统软硬件投入和相关支持。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(6)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有权对甲方的应用推广工作提出建议。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(7)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对甲方、乙方以及客户提出的建议、意见应在1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5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工作日内予以答复</w:t>
      </w:r>
    </w:p>
    <w:p>
      <w:pPr>
        <w:widowControl/>
        <w:shd w:val="clear" w:color="auto" w:fill="FFFFFF"/>
        <w:wordWrap w:val="0"/>
        <w:spacing w:line="510" w:lineRule="atLeast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第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eastAsia="zh-CN"/>
        </w:rPr>
        <w:t>五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条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保密协议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hint="eastAsia"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甲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eastAsia="zh-CN"/>
        </w:rPr>
        <w:t>、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乙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eastAsia="zh-CN"/>
        </w:rPr>
        <w:t>、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丙三方有义务对其他方的行政、商业、技术等信息保密，对外宣传材料均需经三方认可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任何一方均不得将本协议内容告知无关方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line="510" w:lineRule="atLeast"/>
        <w:jc w:val="left"/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highlight w:val="yellow"/>
          <w:lang w:val="en-US" w:eastAsia="zh-CN"/>
        </w:rPr>
        <w:t>知识产权</w:t>
      </w:r>
    </w:p>
    <w:p>
      <w:pPr>
        <w:widowControl/>
        <w:numPr>
          <w:ilvl w:val="0"/>
          <w:numId w:val="0"/>
        </w:numPr>
        <w:shd w:val="clear" w:color="auto" w:fill="FFFFFF"/>
        <w:wordWrap w:val="0"/>
        <w:spacing w:line="510" w:lineRule="atLeast"/>
        <w:ind w:firstLine="480" w:firstLineChars="200"/>
        <w:jc w:val="left"/>
        <w:rPr>
          <w:rFonts w:hint="default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软件界面的logo使用“装建云”（附电子版图片），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技术支持单位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为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北京和创云筑科技有限公司、河北新大地机电制造有限公司，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如果销售客户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在江苏省，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则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技术支持单位为江苏省住建厅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住宅产业化促进中心、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北京和创云筑科技有限公司、河北新大地机电制造有限公司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。</w:t>
      </w:r>
    </w:p>
    <w:p>
      <w:pPr>
        <w:widowControl/>
        <w:numPr>
          <w:ilvl w:val="0"/>
          <w:numId w:val="0"/>
        </w:numPr>
        <w:shd w:val="clear" w:color="auto" w:fill="FFFFFF"/>
        <w:wordWrap w:val="0"/>
        <w:spacing w:line="510" w:lineRule="atLeast"/>
        <w:ind w:firstLine="480" w:firstLineChars="200"/>
        <w:jc w:val="left"/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软件要定期（建议一年）升级，软件版本需三方共同确定；软件产品的文字描述、宣传用PPT等须经甲、乙、丙三方共同确定后统一对外宣传或作为合同文本的技术附件。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line="510" w:lineRule="atLeast"/>
        <w:ind w:left="0" w:leftChars="0" w:firstLine="0" w:firstLineChars="0"/>
        <w:jc w:val="left"/>
        <w:rPr>
          <w:rFonts w:hint="default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利润分成</w:t>
      </w:r>
    </w:p>
    <w:p>
      <w:pPr>
        <w:widowControl/>
        <w:shd w:val="clear" w:color="auto" w:fill="FFFFFF"/>
        <w:spacing w:line="510" w:lineRule="atLeast"/>
        <w:ind w:firstLine="480" w:firstLineChars="200"/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1、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乙方销售生产线设备时，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配套销售该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系统，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或乙方原有客户，经乙方销售该系统，甲、乙、丙三方的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>分成比例为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：3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>0%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，4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>0%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，3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>0%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；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val="en-US" w:eastAsia="zh-CN"/>
        </w:rPr>
        <w:t>2、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经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甲方、丙方销售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该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系统，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甲、乙、丙三方的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分成比例为：3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>0%，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3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>0%，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</w:rPr>
        <w:t>4</w:t>
      </w:r>
      <w:r>
        <w:rPr>
          <w:rFonts w:ascii="Tahoma" w:hAnsi="Tahoma" w:eastAsia="宋体" w:cs="Tahoma"/>
          <w:color w:val="333333"/>
          <w:kern w:val="0"/>
          <w:sz w:val="24"/>
          <w:szCs w:val="24"/>
          <w:highlight w:val="yellow"/>
        </w:rPr>
        <w:t>0%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highlight w:val="yellow"/>
          <w:lang w:eastAsia="zh-CN"/>
        </w:rPr>
        <w:t>。</w:t>
      </w:r>
    </w:p>
    <w:p>
      <w:pPr>
        <w:widowControl/>
        <w:shd w:val="clear" w:color="auto" w:fill="FFFFFF"/>
        <w:wordWrap w:val="0"/>
        <w:spacing w:line="510" w:lineRule="atLeast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第八条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合作期限</w:t>
      </w:r>
    </w:p>
    <w:p>
      <w:pPr>
        <w:widowControl/>
        <w:shd w:val="clear" w:color="auto" w:fill="FFFFFF"/>
        <w:spacing w:line="510" w:lineRule="atLeast"/>
        <w:ind w:firstLine="480" w:firstLineChars="200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本协议有效期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3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年，自甲乙丙三方盖章生效之日算起，期满后如继续合作，另行签订协议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wordWrap w:val="0"/>
        <w:spacing w:line="510" w:lineRule="atLeast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第九条</w:t>
      </w:r>
      <w:r>
        <w:rPr>
          <w:rFonts w:hint="eastAsia" w:ascii="Tahoma" w:hAnsi="Tahoma" w:eastAsia="宋体" w:cs="Tahoma"/>
          <w:b/>
          <w:bCs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  <w:t>其他约定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(1)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本协议自甲乙丙三方签字盖章后生效，本协议一式六份，甲乙方三方各执两份。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(2)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关于合作提前终止。合作期满前，任何一方因不可抗力等特殊因素影响，可提前提出退出合作，但应取得其他方的书面同意。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b/>
          <w:bCs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 xml:space="preserve">(3) 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关于争议解决。合同履行中发生争议，甲乙丙三方应通过友好协商的方式解决；如果协商不成，同意交由北京市仲裁委员会仲裁。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>(4) 本协议未尽事宜，由本协议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三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方另行协商，并通过书面方式提交。本协议的附件为本协议的有效部分，同本协议具有同等的法律效力。</w:t>
      </w:r>
    </w:p>
    <w:p>
      <w:pPr>
        <w:widowControl/>
        <w:shd w:val="clear" w:color="auto" w:fill="FFFFFF"/>
        <w:wordWrap w:val="0"/>
        <w:spacing w:line="510" w:lineRule="atLeast"/>
        <w:ind w:firstLine="480" w:firstLineChars="200"/>
        <w:jc w:val="left"/>
        <w:rPr>
          <w:rFonts w:ascii="Tahoma" w:hAnsi="Tahoma" w:eastAsia="宋体" w:cs="Tahoma"/>
          <w:color w:val="333333"/>
          <w:kern w:val="0"/>
          <w:sz w:val="24"/>
          <w:szCs w:val="24"/>
        </w:rPr>
      </w:pPr>
      <w:r>
        <w:rPr>
          <w:rFonts w:ascii="Tahoma" w:hAnsi="Tahoma" w:eastAsia="宋体" w:cs="Tahoma"/>
          <w:color w:val="333333"/>
          <w:kern w:val="0"/>
          <w:sz w:val="24"/>
          <w:szCs w:val="24"/>
        </w:rPr>
        <w:t>如因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  <w:lang w:eastAsia="zh-CN"/>
        </w:rPr>
        <w:t>其他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方面所造成任何项目变动，</w:t>
      </w:r>
      <w:r>
        <w:rPr>
          <w:rFonts w:hint="eastAsia" w:ascii="Tahoma" w:hAnsi="Tahoma" w:eastAsia="宋体" w:cs="Tahoma"/>
          <w:color w:val="333333"/>
          <w:kern w:val="0"/>
          <w:sz w:val="24"/>
          <w:szCs w:val="24"/>
        </w:rPr>
        <w:t>三</w:t>
      </w:r>
      <w:r>
        <w:rPr>
          <w:rFonts w:ascii="Tahoma" w:hAnsi="Tahoma" w:eastAsia="宋体" w:cs="Tahoma"/>
          <w:color w:val="333333"/>
          <w:kern w:val="0"/>
          <w:sz w:val="24"/>
          <w:szCs w:val="24"/>
        </w:rPr>
        <w:t>双方协商解决相关事宜。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9ED844"/>
    <w:multiLevelType w:val="singleLevel"/>
    <w:tmpl w:val="EA9ED844"/>
    <w:lvl w:ilvl="0" w:tentative="0">
      <w:start w:val="6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1C"/>
    <w:rsid w:val="0004663C"/>
    <w:rsid w:val="000E7391"/>
    <w:rsid w:val="00121795"/>
    <w:rsid w:val="00200647"/>
    <w:rsid w:val="002D0AB1"/>
    <w:rsid w:val="00415E1A"/>
    <w:rsid w:val="00537BC3"/>
    <w:rsid w:val="00652304"/>
    <w:rsid w:val="008A7A64"/>
    <w:rsid w:val="008D2E1C"/>
    <w:rsid w:val="00A40F85"/>
    <w:rsid w:val="00B94604"/>
    <w:rsid w:val="00C001A9"/>
    <w:rsid w:val="00C2353C"/>
    <w:rsid w:val="00C24ED2"/>
    <w:rsid w:val="00CA3EB7"/>
    <w:rsid w:val="00D0797F"/>
    <w:rsid w:val="00DB53B7"/>
    <w:rsid w:val="00E27FE1"/>
    <w:rsid w:val="00E32DA1"/>
    <w:rsid w:val="00EB2845"/>
    <w:rsid w:val="00F30639"/>
    <w:rsid w:val="00F52BAE"/>
    <w:rsid w:val="00F63B89"/>
    <w:rsid w:val="3D9D2493"/>
    <w:rsid w:val="55831937"/>
    <w:rsid w:val="5DC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323</Words>
  <Characters>1847</Characters>
  <Lines>15</Lines>
  <Paragraphs>4</Paragraphs>
  <TotalTime>4</TotalTime>
  <ScaleCrop>false</ScaleCrop>
  <LinksUpToDate>false</LinksUpToDate>
  <CharactersWithSpaces>2166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2020-10-19T03:09:00Z</dcterms:created>
  <dc:creator>王 乐帅</dc:creator>
  <cp:lastModifiedBy>张淑凡_河北新大地</cp:lastModifiedBy>
  <cp:lastPrinted>2020-12-09T06:35:00Z</cp:lastPrinted>
  <dcterms:modified xsi:type="dcterms:W3CDTF">2020-12-09T08:31:27Z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