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ICT-Architect</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Leveranciers constructief begeleid in het aligneren van hun productontwikkeling op Common Ground-principes en open standaarden.</w:t>
      </w:r>
      <w:r>
        <w:br/>
      </w:r>
      <w:r>
        <w:t>• Bestaande Thema-architectuur vertaald naar Archimate views.</w:t>
      </w:r>
      <w:r>
        <w:br/>
      </w:r>
      <w:r>
        <w:t>• Verbeteren overlegstructuren architecten</w:t>
      </w:r>
    </w:p>
    <w:p>
      <w:pPr>
        <w:spacing w:after="60"/>
      </w:pPr>
      <w:r>
        <w:rPr>
          <w:b/>
          <w:color w:val="636E72"/>
          <w:sz w:val="20"/>
        </w:rPr>
        <w:t>Trefwoorden</w:t>
      </w:r>
    </w:p>
    <w:p>
      <w:pPr>
        <w:spacing w:after="120"/>
      </w:pPr>
      <w:r>
        <w:t>Common Ground, GEMMA, PSA, API-first, NL API Strategie, Zaakgericht werken, BiZZdesign, leveranciersmanagement, Digitalisering overheid</w:t>
      </w:r>
    </w:p>
    <w:p>
      <w:pPr>
        <w:pBdr>
          <w:bottom w:val="single" w:sz="6" w:space="1" w:color="B2BEC3"/>
        </w:pBdr>
      </w:pPr>
    </w:p>
    <w:p>
      <w:pPr>
        <w:spacing w:after="120"/>
      </w:pPr>
      <w:r>
        <w:rPr>
          <w:color w:val="636E72"/>
        </w:rPr>
        <w:t xml:space="preserve">2025 – heden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