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111"/>
          <w:sz w:val="22"/>
        </w:rPr>
        <w:t>PERSOONLIJKE GEGEVENS</w:t>
      </w:r>
    </w:p>
    <w:p>
      <w:pPr>
        <w:spacing w:after="120"/>
        <w:jc w:val="right"/>
      </w:pPr>
      <w:r>
        <w:drawing>
          <wp:inline xmlns:a="http://schemas.openxmlformats.org/drawingml/2006/main" xmlns:pic="http://schemas.openxmlformats.org/drawingml/2006/picture">
            <wp:extent cx="1097280" cy="1371935"/>
            <wp:docPr id="1" name="Picture 1"/>
            <wp:cNvGraphicFramePr>
              <a:graphicFrameLocks noChangeAspect="1"/>
            </wp:cNvGraphicFramePr>
            <a:graphic>
              <a:graphicData uri="http://schemas.openxmlformats.org/drawingml/2006/picture">
                <pic:pic>
                  <pic:nvPicPr>
                    <pic:cNvPr id="0" name="profile-photo.jpg"/>
                    <pic:cNvPicPr/>
                  </pic:nvPicPr>
                  <pic:blipFill>
                    <a:blip r:embed="rId9"/>
                    <a:stretch>
                      <a:fillRect/>
                    </a:stretch>
                  </pic:blipFill>
                  <pic:spPr>
                    <a:xfrm>
                      <a:off x="0" y="0"/>
                      <a:ext cx="1097280" cy="1371935"/>
                    </a:xfrm>
                    <a:prstGeom prst="rect"/>
                  </pic:spPr>
                </pic:pic>
              </a:graphicData>
            </a:graphic>
          </wp:inline>
        </w:drawing>
      </w:r>
    </w:p>
    <w:p>
      <w:pPr>
        <w:spacing w:after="160"/>
      </w:pPr>
      <w:r>
        <w:rPr>
          <w:sz w:val="19"/>
        </w:rPr>
        <w:t xml:space="preserve">🔗 </w:t>
      </w:r>
      <w:hyperlink r:id="rId10">
        <w:r>
          <w:rPr>
            <w:color w:val="1155CC"/>
            <w:sz w:val="19"/>
          </w:rPr>
          <w:t>LinkedIn</w:t>
        </w:r>
      </w:hyperlink>
      <w:r>
        <w:rPr>
          <w:sz w:val="19"/>
        </w:rPr>
        <w:t xml:space="preserve">     </w:t>
      </w:r>
      <w:r>
        <w:rPr>
          <w:sz w:val="19"/>
        </w:rPr>
        <w:t xml:space="preserve">🌐 </w:t>
      </w:r>
      <w:hyperlink r:id="rId11">
        <w:r>
          <w:rPr>
            <w:color w:val="1155CC"/>
            <w:sz w:val="19"/>
          </w:rPr>
          <w:t>Website</w:t>
        </w:r>
      </w:hyperlink>
      <w:r>
        <w:rPr>
          <w:sz w:val="19"/>
        </w:rPr>
        <w:t xml:space="preserve">     </w:t>
      </w:r>
      <w:r>
        <w:rPr>
          <w:sz w:val="19"/>
        </w:rPr>
        <w:t xml:space="preserve">💻 </w:t>
      </w:r>
      <w:hyperlink r:id="rId12">
        <w:r>
          <w:rPr>
            <w:color w:val="1155CC"/>
            <w:sz w:val="19"/>
          </w:rPr>
          <w:t>GitHub</w:t>
        </w:r>
      </w:hyperlink>
      <w:r>
        <w:rPr>
          <w:sz w:val="19"/>
        </w:rPr>
        <w:t xml:space="preserve">     </w:t>
      </w:r>
      <w:r>
        <w:rPr>
          <w:sz w:val="19"/>
        </w:rPr>
        <w:t xml:space="preserve">☎ </w:t>
      </w:r>
      <w:hyperlink r:id="rId13">
        <w:r>
          <w:rPr>
            <w:color w:val="1155CC"/>
            <w:sz w:val="19"/>
          </w:rPr>
          <w:t>06 3045 1822</w:t>
        </w:r>
      </w:hyperlink>
      <w:r>
        <w:rPr>
          <w:sz w:val="19"/>
        </w:rPr>
        <w:t xml:space="preserve">     </w:t>
      </w:r>
      <w:r>
        <w:rPr>
          <w:sz w:val="19"/>
        </w:rPr>
        <w:t xml:space="preserve">✉ </w:t>
      </w:r>
      <w:hyperlink r:id="rId14">
        <w:r>
          <w:rPr>
            <w:color w:val="1155CC"/>
            <w:sz w:val="19"/>
          </w:rPr>
          <w:t>hans.blok@the-future-group.com</w:t>
        </w:r>
      </w:hyperlink>
    </w:p>
    <w:tbl>
      <w:tblPr>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r>
        <w:rPr>
          <w:b/>
          <w:color w:val="111111"/>
          <w:sz w:val="22"/>
        </w:rPr>
        <w:t>KERNEXPERTISE</w:t>
      </w:r>
    </w:p>
    <w:tbl>
      <w:tblPr>
        <w:tblW w:type="auto" w:w="0"/>
        <w:tblLayout w:type="autofit"/>
        <w:tblLook w:firstColumn="1" w:firstRow="1" w:lastColumn="0" w:lastRow="0" w:noHBand="0" w:noVBand="1" w:val="04A0"/>
      </w:tblPr>
      <w:tblGrid>
        <w:gridCol w:w="2700"/>
        <w:gridCol w:w="2700"/>
        <w:gridCol w:w="2700"/>
        <w:gridCol w:w="2700"/>
      </w:tblGrid>
      <w:tr>
        <w:tc>
          <w:tcPr>
            <w:tcW w:type="dxa" w:w="2700"/>
            <w:tcBorders>
              <w:top w:val="none"/>
              <w:left w:val="none"/>
              <w:bottom w:val="none"/>
              <w:right w:val="none"/>
            </w:tcBorders>
            <w:shd w:val="clear" w:fill="DFE6E9"/>
          </w:tcPr>
          <w:p>
            <w:pPr>
              <w:spacing w:after="40" w:before="40"/>
            </w:pPr>
            <w:r>
              <w:rPr>
                <w:sz w:val="19"/>
              </w:rPr>
              <w:t>Common Ground</w:t>
            </w:r>
          </w:p>
        </w:tc>
        <w:tc>
          <w:tcPr>
            <w:tcW w:type="dxa" w:w="2700"/>
            <w:tcBorders>
              <w:top w:val="none"/>
              <w:left w:val="none"/>
              <w:bottom w:val="none"/>
              <w:right w:val="none"/>
            </w:tcBorders>
            <w:shd w:val="clear" w:fill="DFE6E9"/>
          </w:tcPr>
          <w:p>
            <w:pPr>
              <w:spacing w:after="40" w:before="40"/>
            </w:pPr>
            <w:r>
              <w:rPr>
                <w:sz w:val="19"/>
              </w:rPr>
              <w:t>GEMMA</w:t>
            </w:r>
          </w:p>
        </w:tc>
        <w:tc>
          <w:tcPr>
            <w:tcW w:type="dxa" w:w="2700"/>
            <w:tcBorders>
              <w:top w:val="none"/>
              <w:left w:val="none"/>
              <w:bottom w:val="none"/>
              <w:right w:val="none"/>
            </w:tcBorders>
            <w:shd w:val="clear" w:fill="DFE6E9"/>
          </w:tcPr>
          <w:p>
            <w:pPr>
              <w:spacing w:after="40" w:before="40"/>
            </w:pPr>
            <w:r>
              <w:rPr>
                <w:sz w:val="19"/>
              </w:rPr>
              <w:t>PSA</w:t>
            </w:r>
          </w:p>
        </w:tc>
        <w:tc>
          <w:tcPr>
            <w:tcW w:type="dxa" w:w="2700"/>
            <w:tcBorders>
              <w:top w:val="none"/>
              <w:left w:val="none"/>
              <w:bottom w:val="none"/>
              <w:right w:val="none"/>
            </w:tcBorders>
            <w:shd w:val="clear" w:fill="DFE6E9"/>
          </w:tcPr>
          <w:p>
            <w:pPr>
              <w:spacing w:after="40" w:before="40"/>
            </w:pPr>
            <w:r>
              <w:rPr>
                <w:sz w:val="19"/>
              </w:rPr>
              <w:t>Federatieve Service Connectiviteit (FSC)</w:t>
            </w:r>
          </w:p>
        </w:tc>
      </w:tr>
      <w:tr>
        <w:tc>
          <w:tcPr>
            <w:tcW w:type="dxa" w:w="2700"/>
            <w:tcBorders>
              <w:top w:val="none"/>
              <w:left w:val="none"/>
              <w:bottom w:val="none"/>
              <w:right w:val="none"/>
            </w:tcBorders>
            <w:shd w:val="clear" w:fill="DFE6E9"/>
          </w:tcPr>
          <w:p>
            <w:pPr>
              <w:spacing w:after="40" w:before="40"/>
            </w:pPr>
            <w:r>
              <w:rPr>
                <w:sz w:val="19"/>
              </w:rPr>
              <w:t>NL API Strategie</w:t>
            </w:r>
          </w:p>
        </w:tc>
        <w:tc>
          <w:tcPr>
            <w:tcW w:type="dxa" w:w="2700"/>
            <w:tcBorders>
              <w:top w:val="none"/>
              <w:left w:val="none"/>
              <w:bottom w:val="none"/>
              <w:right w:val="none"/>
            </w:tcBorders>
            <w:shd w:val="clear" w:fill="DFE6E9"/>
          </w:tcPr>
          <w:p>
            <w:pPr>
              <w:spacing w:after="40" w:before="40"/>
            </w:pPr>
            <w:r>
              <w:rPr>
                <w:sz w:val="19"/>
              </w:rPr>
              <w:t>Zaakgericht werken</w:t>
            </w:r>
          </w:p>
        </w:tc>
        <w:tc>
          <w:tcPr>
            <w:tcW w:type="dxa" w:w="2700"/>
            <w:tcBorders>
              <w:top w:val="none"/>
              <w:left w:val="none"/>
              <w:bottom w:val="none"/>
              <w:right w:val="none"/>
            </w:tcBorders>
            <w:shd w:val="clear" w:fill="DFE6E9"/>
          </w:tcPr>
          <w:p>
            <w:pPr>
              <w:spacing w:after="40" w:before="40"/>
            </w:pPr>
            <w:r>
              <w:rPr>
                <w:sz w:val="19"/>
              </w:rPr>
              <w:t>BiZZdesign</w:t>
            </w:r>
          </w:p>
        </w:tc>
        <w:tc>
          <w:tcPr>
            <w:tcW w:type="dxa" w:w="2700"/>
            <w:tcBorders>
              <w:top w:val="none"/>
              <w:left w:val="none"/>
              <w:bottom w:val="none"/>
              <w:right w:val="none"/>
            </w:tcBorders>
            <w:shd w:val="clear" w:fill="DFE6E9"/>
          </w:tcPr>
          <w:p>
            <w:pPr>
              <w:spacing w:after="40" w:before="40"/>
            </w:pPr>
            <w:r>
              <w:rPr>
                <w:sz w:val="19"/>
              </w:rPr>
              <w:t>leveranciersmanagement</w:t>
            </w:r>
          </w:p>
        </w:tc>
      </w:tr>
      <w:tr>
        <w:tc>
          <w:tcPr>
            <w:tcW w:type="dxa" w:w="2700"/>
            <w:tcBorders>
              <w:top w:val="none"/>
              <w:left w:val="none"/>
              <w:bottom w:val="none"/>
              <w:right w:val="none"/>
            </w:tcBorders>
            <w:shd w:val="clear" w:fill="DFE6E9"/>
          </w:tcPr>
          <w:p>
            <w:pPr>
              <w:spacing w:after="40" w:before="40"/>
            </w:pPr>
            <w:r>
              <w:rPr>
                <w:sz w:val="19"/>
              </w:rPr>
              <w:t>Digitalisering overheid</w:t>
            </w:r>
          </w:p>
        </w:tc>
        <w:tc>
          <w:tcPr>
            <w:tcW w:type="dxa" w:w="2700"/>
            <w:tcBorders>
              <w:top w:val="none"/>
              <w:left w:val="none"/>
              <w:bottom w:val="none"/>
              <w:right w:val="none"/>
            </w:tcBorders>
            <w:shd w:val="clear" w:fill="DFE6E9"/>
          </w:tcPr>
          <w:p>
            <w:pPr>
              <w:spacing w:after="40" w:before="40"/>
            </w:pPr>
            <w:r>
              <w:rPr>
                <w:sz w:val="19"/>
              </w:rPr>
              <w:t>BlueDolphin</w:t>
            </w:r>
          </w:p>
        </w:tc>
        <w:tc>
          <w:tcPr>
            <w:tcW w:type="dxa" w:w="2700"/>
            <w:tcBorders>
              <w:top w:val="none"/>
              <w:left w:val="none"/>
              <w:bottom w:val="none"/>
              <w:right w:val="none"/>
            </w:tcBorders>
            <w:shd w:val="clear" w:fill="DFE6E9"/>
          </w:tcPr>
          <w:p>
            <w:pPr>
              <w:spacing w:after="40" w:before="40"/>
            </w:pPr>
            <w:r>
              <w:rPr>
                <w:sz w:val="19"/>
              </w:rPr>
              <w:t>API-Gateway</w:t>
            </w:r>
          </w:p>
        </w:tc>
        <w:tc>
          <w:tcPr>
            <w:tcW w:type="dxa" w:w="2700"/>
            <w:tcBorders>
              <w:top w:val="none"/>
              <w:left w:val="none"/>
              <w:bottom w:val="none"/>
              <w:right w:val="none"/>
            </w:tcBorders>
            <w:shd w:val="clear" w:fill="DFE6E9"/>
          </w:tcPr>
          <w:p>
            <w:pPr>
              <w:spacing w:after="40" w:before="40"/>
            </w:pPr>
            <w:r>
              <w:rPr>
                <w:sz w:val="19"/>
              </w:rPr>
              <w:t>Service Oriented Architecture</w:t>
            </w:r>
          </w:p>
        </w:tc>
      </w:tr>
      <w:tr>
        <w:tc>
          <w:tcPr>
            <w:tcW w:type="dxa" w:w="2700"/>
            <w:tcBorders>
              <w:top w:val="none"/>
              <w:left w:val="none"/>
              <w:bottom w:val="none"/>
              <w:right w:val="none"/>
            </w:tcBorders>
            <w:shd w:val="clear" w:fill="DFE6E9"/>
          </w:tcPr>
          <w:p>
            <w:pPr>
              <w:spacing w:after="40" w:before="40"/>
            </w:pPr>
            <w:r>
              <w:rPr>
                <w:sz w:val="19"/>
              </w:rPr>
              <w:t>SAFE</w:t>
            </w:r>
          </w:p>
        </w:tc>
        <w:tc>
          <w:tcPr>
            <w:tcW w:type="dxa" w:w="2700"/>
            <w:tcBorders>
              <w:top w:val="none"/>
              <w:left w:val="none"/>
              <w:bottom w:val="none"/>
              <w:right w:val="none"/>
            </w:tcBorders>
            <w:shd w:val="clear" w:fill="DFE6E9"/>
          </w:tcPr>
          <w:p>
            <w:pPr>
              <w:spacing w:after="40" w:before="40"/>
            </w:pPr>
            <w:r>
              <w:rPr>
                <w:sz w:val="19"/>
              </w:rPr>
              <w:t>migratie monolithisch systeem naar microservices</w:t>
            </w:r>
          </w:p>
        </w:tc>
        <w:tc>
          <w:tcPr>
            <w:tcW w:type="dxa" w:w="2700"/>
            <w:tcBorders>
              <w:top w:val="none"/>
              <w:left w:val="none"/>
              <w:bottom w:val="none"/>
              <w:right w:val="none"/>
            </w:tcBorders>
            <w:shd w:val="clear" w:fill="DFE6E9"/>
          </w:tcPr>
          <w:p>
            <w:pPr>
              <w:spacing w:after="40" w:before="40"/>
            </w:pPr>
            <w:r>
              <w:rPr>
                <w:sz w:val="19"/>
              </w:rPr>
              <w:t>micro frontend</w:t>
            </w:r>
          </w:p>
        </w:tc>
        <w:tc>
          <w:tcPr>
            <w:tcW w:type="dxa" w:w="2700"/>
            <w:tcBorders>
              <w:top w:val="none"/>
              <w:left w:val="none"/>
              <w:bottom w:val="none"/>
              <w:right w:val="none"/>
            </w:tcBorders>
            <w:shd w:val="clear" w:fill="DFE6E9"/>
          </w:tcPr>
          <w:p>
            <w:pPr>
              <w:spacing w:after="40" w:before="40"/>
            </w:pPr>
            <w:r>
              <w:rPr>
                <w:sz w:val="19"/>
              </w:rPr>
              <w:t>IAM</w:t>
            </w:r>
          </w:p>
        </w:tc>
      </w:tr>
      <w:tr>
        <w:tc>
          <w:tcPr>
            <w:tcW w:type="dxa" w:w="2700"/>
            <w:tcBorders>
              <w:top w:val="none"/>
              <w:left w:val="none"/>
              <w:bottom w:val="none"/>
              <w:right w:val="none"/>
            </w:tcBorders>
            <w:shd w:val="clear" w:fill="DFE6E9"/>
          </w:tcPr>
          <w:p>
            <w:pPr>
              <w:spacing w:after="40" w:before="40"/>
            </w:pPr>
            <w:r>
              <w:rPr>
                <w:sz w:val="19"/>
              </w:rPr>
              <w:t>Regelanalyse</w:t>
            </w:r>
          </w:p>
        </w:tc>
        <w:tc>
          <w:tcPr>
            <w:tcW w:type="dxa" w:w="2700"/>
            <w:tcBorders>
              <w:top w:val="none"/>
              <w:left w:val="none"/>
              <w:bottom w:val="none"/>
              <w:right w:val="none"/>
            </w:tcBorders>
            <w:shd w:val="clear" w:fill="DFE6E9"/>
          </w:tcPr>
          <w:p>
            <w:pPr>
              <w:spacing w:after="40" w:before="40"/>
            </w:pPr>
            <w:r>
              <w:rPr>
                <w:sz w:val="19"/>
              </w:rPr>
              <w:t>impactanalyse</w:t>
            </w:r>
          </w:p>
        </w:tc>
        <w:tc>
          <w:tcPr>
            <w:tcW w:type="dxa" w:w="2700"/>
            <w:tcBorders>
              <w:top w:val="none"/>
              <w:left w:val="none"/>
              <w:bottom w:val="none"/>
              <w:right w:val="none"/>
            </w:tcBorders>
            <w:shd w:val="clear" w:fill="DFE6E9"/>
          </w:tcPr>
          <w:p>
            <w:pPr>
              <w:spacing w:after="40" w:before="40"/>
            </w:pPr>
            <w:r>
              <w:rPr>
                <w:sz w:val="19"/>
              </w:rPr>
              <w:t>DYA</w:t>
            </w:r>
          </w:p>
        </w:tc>
        <w:tc>
          <w:tcPr>
            <w:tcW w:type="dxa" w:w="2700"/>
            <w:tcBorders>
              <w:top w:val="none"/>
              <w:left w:val="none"/>
              <w:bottom w:val="none"/>
              <w:right w:val="none"/>
            </w:tcBorders>
            <w:shd w:val="clear" w:fill="DFE6E9"/>
          </w:tcPr>
          <w:p>
            <w:pPr>
              <w:spacing w:after="40" w:before="40"/>
            </w:pPr>
            <w:r>
              <w:rPr>
                <w:sz w:val="19"/>
              </w:rPr>
              <w:t>Digitalisering</w:t>
            </w:r>
          </w:p>
        </w:tc>
      </w:tr>
      <w:tr>
        <w:tc>
          <w:tcPr>
            <w:tcW w:type="dxa" w:w="2700"/>
            <w:tcBorders>
              <w:top w:val="none"/>
              <w:left w:val="none"/>
              <w:bottom w:val="none"/>
              <w:right w:val="none"/>
            </w:tcBorders>
            <w:shd w:val="clear" w:fill="DFE6E9"/>
          </w:tcPr>
          <w:p>
            <w:pPr>
              <w:spacing w:after="40" w:before="40"/>
            </w:pPr>
            <w:r>
              <w:rPr>
                <w:sz w:val="19"/>
              </w:rPr>
              <w:t>migratie van monoliet naar microservices</w:t>
            </w:r>
          </w:p>
        </w:tc>
        <w:tc>
          <w:tcPr>
            <w:tcW w:type="dxa" w:w="2700"/>
            <w:tcBorders>
              <w:top w:val="none"/>
              <w:left w:val="none"/>
              <w:bottom w:val="none"/>
              <w:right w:val="none"/>
            </w:tcBorders>
            <w:shd w:val="clear" w:fill="DFE6E9"/>
          </w:tcPr>
          <w:p>
            <w:pPr>
              <w:spacing w:after="40" w:before="40"/>
            </w:pPr>
            <w:r>
              <w:rPr>
                <w:sz w:val="19"/>
              </w:rPr>
              <w:t>Hypotheken</w:t>
            </w:r>
          </w:p>
        </w:tc>
        <w:tc>
          <w:tcPr>
            <w:tcW w:type="dxa" w:w="2700"/>
            <w:tcBorders>
              <w:top w:val="none"/>
              <w:left w:val="none"/>
              <w:bottom w:val="none"/>
              <w:right w:val="none"/>
            </w:tcBorders>
            <w:shd w:val="clear" w:fill="DFE6E9"/>
          </w:tcPr>
          <w:p>
            <w:pPr>
              <w:spacing w:after="40" w:before="40"/>
            </w:pPr>
            <w:r>
              <w:rPr>
                <w:sz w:val="19"/>
              </w:rPr>
              <w:t>migratie hypotheekportefeuille</w:t>
            </w:r>
          </w:p>
        </w:tc>
        <w:tc>
          <w:tcPr>
            <w:tcW w:type="dxa" w:w="2700"/>
            <w:tcBorders>
              <w:top w:val="none"/>
              <w:left w:val="none"/>
              <w:bottom w:val="none"/>
              <w:right w:val="none"/>
            </w:tcBorders>
            <w:shd w:val="clear" w:fill="DFE6E9"/>
          </w:tcPr>
          <w:p>
            <w:pPr>
              <w:spacing w:after="40" w:before="40"/>
            </w:pPr>
            <w:r>
              <w:rPr>
                <w:sz w:val="19"/>
              </w:rPr>
              <w:t>Data-warehouse</w:t>
            </w:r>
          </w:p>
        </w:tc>
      </w:tr>
      <w:tr>
        <w:tc>
          <w:tcPr>
            <w:tcW w:type="dxa" w:w="2700"/>
            <w:tcBorders>
              <w:top w:val="none"/>
              <w:left w:val="none"/>
              <w:bottom w:val="none"/>
              <w:right w:val="none"/>
            </w:tcBorders>
            <w:shd w:val="clear" w:fill="DFE6E9"/>
          </w:tcPr>
          <w:p>
            <w:pPr>
              <w:spacing w:after="40" w:before="40"/>
            </w:pPr>
            <w:r>
              <w:rPr>
                <w:sz w:val="19"/>
              </w:rPr>
              <w:t>Outsourcing India</w:t>
            </w:r>
          </w:p>
        </w:tc>
        <w:tc>
          <w:tcPr>
            <w:tcW w:type="dxa" w:w="2700"/>
            <w:tcBorders>
              <w:top w:val="none"/>
              <w:left w:val="none"/>
              <w:bottom w:val="none"/>
              <w:right w:val="none"/>
            </w:tcBorders>
            <w:shd w:val="clear" w:fill="DFE6E9"/>
          </w:tcPr>
          <w:p>
            <w:pPr>
              <w:spacing w:after="40" w:before="40"/>
            </w:pPr>
            <w:r>
              <w:rPr>
                <w:sz w:val="19"/>
              </w:rPr>
              <w:t>splitsing energiemarkt</w:t>
            </w:r>
          </w:p>
        </w:tc>
        <w:tc>
          <w:tcPr>
            <w:tcW w:type="dxa" w:w="2700"/>
            <w:tcBorders>
              <w:top w:val="none"/>
              <w:left w:val="none"/>
              <w:bottom w:val="none"/>
              <w:right w:val="none"/>
            </w:tcBorders>
            <w:shd w:val="clear" w:fill="DFE6E9"/>
          </w:tcPr>
          <w:p>
            <w:pPr>
              <w:spacing w:after="40" w:before="40"/>
            </w:pPr>
            <w:r>
              <w:rPr>
                <w:sz w:val="19"/>
              </w:rPr>
              <w:t>conversie</w:t>
            </w:r>
          </w:p>
        </w:tc>
        <w:tc>
          <w:tcPr>
            <w:tcW w:type="dxa" w:w="2700"/>
            <w:tcBorders>
              <w:top w:val="none"/>
              <w:left w:val="none"/>
              <w:bottom w:val="none"/>
              <w:right w:val="none"/>
            </w:tcBorders>
            <w:shd w:val="clear" w:fill="DFE6E9"/>
          </w:tcPr>
          <w:p>
            <w:pPr>
              <w:spacing w:after="40" w:before="40"/>
            </w:pPr>
            <w:r>
              <w:rPr>
                <w:sz w:val="19"/>
              </w:rPr>
              <w:t>Oracle</w:t>
            </w:r>
          </w:p>
        </w:tc>
      </w:tr>
      <w:tr>
        <w:tc>
          <w:tcPr>
            <w:tcW w:type="dxa" w:w="2700"/>
            <w:tcBorders>
              <w:top w:val="none"/>
              <w:left w:val="none"/>
              <w:bottom w:val="none"/>
              <w:right w:val="none"/>
            </w:tcBorders>
            <w:shd w:val="clear" w:fill="DFE6E9"/>
          </w:tcPr>
          <w:p>
            <w:pPr>
              <w:spacing w:after="40" w:before="40"/>
            </w:pPr>
            <w:r>
              <w:rPr>
                <w:sz w:val="19"/>
              </w:rPr>
              <w:t>ITIL</w:t>
            </w:r>
          </w:p>
        </w:tc>
        <w:tc>
          <w:tcPr>
            <w:tcW w:type="dxa" w:w="2700"/>
            <w:tcBorders>
              <w:top w:val="none"/>
              <w:left w:val="none"/>
              <w:bottom w:val="none"/>
              <w:right w:val="none"/>
            </w:tcBorders>
            <w:shd w:val="clear" w:fill="DFE6E9"/>
          </w:tcPr>
          <w:p>
            <w:pPr>
              <w:spacing w:after="40" w:before="40"/>
            </w:pPr>
            <w:r>
              <w:rPr>
                <w:sz w:val="19"/>
              </w:rPr>
              <w:t>billing-applicatie</w:t>
            </w:r>
          </w:p>
        </w:tc>
        <w:tc>
          <w:tcPr>
            <w:tcW w:type="dxa" w:w="2700"/>
            <w:tcBorders>
              <w:top w:val="none"/>
              <w:left w:val="none"/>
              <w:bottom w:val="none"/>
              <w:right w:val="none"/>
            </w:tcBorders>
            <w:shd w:val="clear" w:fill="DFE6E9"/>
          </w:tcPr>
          <w:p>
            <w:pPr>
              <w:spacing w:after="40" w:before="40"/>
            </w:pPr>
            <w:r>
              <w:rPr>
                <w:sz w:val="19"/>
              </w:rPr>
              <w:t>bankwezen</w:t>
            </w:r>
          </w:p>
        </w:tc>
        <w:tc>
          <w:tcPr>
            <w:tcW w:type="dxa" w:w="2700"/>
            <w:tcBorders>
              <w:top w:val="none"/>
              <w:left w:val="none"/>
              <w:bottom w:val="none"/>
              <w:right w:val="none"/>
            </w:tcBorders>
            <w:shd w:val="clear" w:fill="DFE6E9"/>
          </w:tcPr>
          <w:p>
            <w:pPr>
              <w:spacing w:after="40" w:before="40"/>
            </w:pPr>
            <w:r>
              <w:rPr>
                <w:sz w:val="19"/>
              </w:rPr>
              <w:t>energiesector</w:t>
            </w:r>
          </w:p>
        </w:tc>
      </w:tr>
      <w:tr>
        <w:tc>
          <w:tcPr>
            <w:tcW w:type="dxa" w:w="2700"/>
            <w:tcBorders>
              <w:top w:val="none"/>
              <w:left w:val="none"/>
              <w:bottom w:val="none"/>
              <w:right w:val="none"/>
            </w:tcBorders>
            <w:shd w:val="clear" w:fill="DFE6E9"/>
          </w:tcPr>
          <w:p>
            <w:pPr>
              <w:spacing w:after="40" w:before="40"/>
            </w:pPr>
            <w:r>
              <w:rPr>
                <w:sz w:val="19"/>
              </w:rPr>
              <w:t>ArchiMate® 3</w:t>
            </w:r>
          </w:p>
        </w:tc>
        <w:tc>
          <w:tcPr>
            <w:tcW w:type="dxa" w:w="2700"/>
            <w:tcBorders>
              <w:top w:val="none"/>
              <w:left w:val="none"/>
              <w:bottom w:val="none"/>
              <w:right w:val="none"/>
            </w:tcBorders>
            <w:shd w:val="clear" w:fill="DFE6E9"/>
          </w:tcPr>
          <w:p>
            <w:pPr>
              <w:spacing w:after="40" w:before="40"/>
            </w:pPr>
            <w:r>
              <w:rPr>
                <w:sz w:val="19"/>
              </w:rPr>
              <w:t>SAFe® 5 Architect</w:t>
            </w:r>
          </w:p>
        </w:tc>
        <w:tc>
          <w:tcPr>
            <w:tcW w:type="dxa" w:w="2700"/>
            <w:tcBorders>
              <w:top w:val="none"/>
              <w:left w:val="none"/>
              <w:bottom w:val="none"/>
              <w:right w:val="none"/>
            </w:tcBorders>
            <w:shd w:val="clear" w:fill="DFE6E9"/>
          </w:tcPr>
          <w:p>
            <w:pPr>
              <w:spacing w:after="40" w:before="40"/>
            </w:pPr>
            <w:r>
              <w:rPr>
                <w:sz w:val="19"/>
              </w:rPr>
              <w:t>SOA Professional Gen 1 (mod 1,3, 8) (Honors)</w:t>
            </w:r>
          </w:p>
        </w:tc>
        <w:tc>
          <w:tcPr>
            <w:tcW w:type="dxa" w:w="2700"/>
            <w:shd w:val="clear" w:fill="FFFFFF"/>
          </w:tcPr>
          <w:p/>
        </w:tc>
      </w:tr>
    </w:tbl>
    <w:p>
      <w:pPr>
        <w:spacing w:after="60"/>
      </w:pPr>
    </w:p>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111111"/>
          <w:sz w:val="22"/>
        </w:rPr>
        <w:t>ACHTERGROND</w:t>
      </w:r>
    </w:p>
    <w:p>
      <w:pPr>
        <w:spacing w:after="60"/>
      </w:pPr>
      <w:r>
        <w:rPr>
          <w:b/>
          <w:color w:val="636E72"/>
          <w:sz w:val="20"/>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spacing w:after="60"/>
      </w:pPr>
      <w:r>
        <w:rPr>
          <w:b/>
          <w:color w:val="636E72"/>
          <w:sz w:val="20"/>
        </w:rPr>
        <w:t>Belangrijkste 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111111"/>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111111"/>
          <w:sz w:val="22"/>
        </w:rPr>
        <w:t>OVERIGE CURSUSSEN</w:t>
      </w:r>
    </w:p>
    <w:p>
      <w:pPr>
        <w:spacing w:after="60"/>
      </w:pPr>
      <w:r>
        <w:t>Mastering the Requirements Process (Volere), Woningfinanciering I, Prince 2 Foundation, Dimensionaal Modelleren voor Datawarehouses, Business English, Methode en technieken voor informatieanalyse, Informatiesysteem-architectuur, Functioneel ontwerp van administratieve systemen, Testen in de praktijk, Certificering Oracle SQL, PL/SQL Opleiding tot Oracle Developer, Entity Relationship Modelling, Database ontwerp</w:t>
      </w:r>
    </w:p>
    <w:p>
      <w:pPr>
        <w:pBdr>
          <w:bottom w:val="single" w:sz="6" w:space="1" w:color="B2BEC3"/>
        </w:pBdr>
      </w:pPr>
    </w:p>
    <w:p>
      <w:r>
        <w:rPr>
          <w:b/>
          <w:color w:val="111111"/>
          <w:sz w:val="22"/>
        </w:rPr>
        <w:t>WERKERVARING</w:t>
      </w:r>
    </w:p>
    <w:p>
      <w:pPr>
        <w:spacing w:after="120"/>
      </w:pPr>
      <w:r>
        <w:rPr>
          <w:color w:val="636E72"/>
        </w:rPr>
        <w:t xml:space="preserve">2026 – heden  </w:t>
      </w:r>
      <w:r>
        <w:t>Gemeente Utrecht</w:t>
      </w:r>
      <w:r>
        <w:t xml:space="preserve"> — Solution Architect Common Ground</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Federatieve Service Connectiviteit (FSC), NL API Strategie, Zaakgericht werken, BiZZdesign, leveranciersmanagement, Digitalisering overheid</w:t>
      </w:r>
    </w:p>
    <w:p>
      <w:pPr>
        <w:pBdr>
          <w:bottom w:val="single" w:sz="6" w:space="1" w:color="B2BEC3"/>
        </w:pBdr>
      </w:pPr>
    </w:p>
    <w:p>
      <w:pPr>
        <w:spacing w:after="120"/>
      </w:pPr>
      <w:r>
        <w:rPr>
          <w:color w:val="636E72"/>
        </w:rPr>
        <w:t xml:space="preserve">2025 – 2025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portfolio-laag ruimte komt om enablers te realiseren waarmee de visie wordt vormgegeven. Het traject bestaat uit een complexe migratie van een monoliet naar een gedistribueerd systeem. Daarnaast is een migratie uitgevoerd van een traditioneel hosting platform naar Red 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impactanalyses en het vastleggen van een referentiearchitectuur voor het realiseren van een servicegeoriënteerd landschap.</w:t>
      </w:r>
    </w:p>
    <w:p>
      <w:pPr>
        <w:spacing w:after="60"/>
      </w:pPr>
      <w:r>
        <w:rPr>
          <w:b/>
          <w:color w:val="636E72"/>
          <w:sz w:val="20"/>
        </w:rPr>
        <w:t>Belangrijkste prestaties</w:t>
      </w:r>
    </w:p>
    <w:p>
      <w:pPr>
        <w:spacing w:after="120"/>
      </w:pPr>
      <w:r>
        <w:t>Architecten van het IH-domein gemotiveerd en geactiveerd om een servicegeoriënteerde aanpak te adopteren, waarmee de basis is gelegd voor een toekomstvaste architectuur.</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 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Succesvol en zelfstandig regie gevoerd over complexe conversie-issues in een onbekend domein, wat heeft geleid tot een foutloze migratie van een grote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was ik verantwoordelijk voor informatieanalyse, onderhoud van het logisch datamodel, functioneel ontwerp en test in een omgeving waarbij de ontwikkeling in India plaatsvond.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 – 2005  </w:t>
      </w:r>
      <w:r>
        <w:t>Atos Origin</w:t>
      </w:r>
      <w:r>
        <w:t xml:space="preserve"> — Applicatieontwikkelaar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www.linkedin.com/in/hans-blok/" TargetMode="External"/><Relationship Id="rId11" Type="http://schemas.openxmlformats.org/officeDocument/2006/relationships/hyperlink" Target="https://www.2-minuten-it-architectuur.nl/" TargetMode="External"/><Relationship Id="rId12" Type="http://schemas.openxmlformats.org/officeDocument/2006/relationships/hyperlink" Target="https://github.com/hans-blok" TargetMode="External"/><Relationship Id="rId13" Type="http://schemas.openxmlformats.org/officeDocument/2006/relationships/hyperlink" Target="tel:06 3045 1822" TargetMode="External"/><Relationship Id="rId14" Type="http://schemas.openxmlformats.org/officeDocument/2006/relationships/hyperlink" Target="mailto:hans.blok@the-future-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