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A66C2"/>
          <w:sz w:val="22"/>
        </w:rPr>
        <w:t>PERSOONLIJKE GEGEVENS</w:t>
      </w:r>
    </w:p>
    <w:p>
      <w:pPr>
        <w:spacing w:after="120"/>
        <w:jc w:val="right"/>
      </w:pPr>
      <w:r>
        <w:drawing>
          <wp:inline xmlns:a="http://schemas.openxmlformats.org/drawingml/2006/main" xmlns:pic="http://schemas.openxmlformats.org/drawingml/2006/picture">
            <wp:extent cx="1097280" cy="1371935"/>
            <wp:docPr id="1" name="Picture 1"/>
            <wp:cNvGraphicFramePr>
              <a:graphicFrameLocks noChangeAspect="1"/>
            </wp:cNvGraphicFramePr>
            <a:graphic>
              <a:graphicData uri="http://schemas.openxmlformats.org/drawingml/2006/picture">
                <pic:pic>
                  <pic:nvPicPr>
                    <pic:cNvPr id="0" name="profile-photo.jpg"/>
                    <pic:cNvPicPr/>
                  </pic:nvPicPr>
                  <pic:blipFill>
                    <a:blip r:embed="rId9"/>
                    <a:stretch>
                      <a:fillRect/>
                    </a:stretch>
                  </pic:blipFill>
                  <pic:spPr>
                    <a:xfrm>
                      <a:off x="0" y="0"/>
                      <a:ext cx="1097280" cy="1371935"/>
                    </a:xfrm>
                    <a:prstGeom prst="rect"/>
                  </pic:spPr>
                </pic:pic>
              </a:graphicData>
            </a:graphic>
          </wp:inline>
        </w:drawing>
      </w:r>
    </w:p>
    <w:p>
      <w:pPr>
        <w:spacing w:after="160"/>
      </w:pPr>
      <w:r>
        <w:rPr>
          <w:color w:val="636E72"/>
          <w:sz w:val="19"/>
        </w:rPr>
        <w:t>LinkedIn: https://www.linkedin.com/in/hans-blok/ · Website: https://www.2-minuten-it-architectuur.nl/ · GitHub: https://github.com/hans-blok · 06 3045 1822 · hans.blok@the-future-group.com</w:t>
      </w:r>
    </w:p>
    <w:tbl>
      <w:tblPr>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september 2026</w:t>
            </w:r>
          </w:p>
        </w:tc>
      </w:tr>
    </w:tbl>
    <w:p>
      <w:pPr>
        <w:pBdr>
          <w:bottom w:val="single" w:sz="6" w:space="1" w:color="B2BEC3"/>
        </w:pBdr>
      </w:pPr>
    </w:p>
    <w:p>
      <w:r>
        <w:rPr>
          <w:b/>
          <w:color w:val="0A66C2"/>
          <w:sz w:val="22"/>
        </w:rPr>
        <w:t>KERNEXPERTISE</w:t>
      </w:r>
    </w:p>
    <w:tbl>
      <w:tblPr>
        <w:tblW w:type="auto" w:w="0"/>
        <w:tblLayout w:type="autofit"/>
        <w:tblLook w:firstColumn="1" w:firstRow="1" w:lastColumn="0" w:lastRow="0" w:noHBand="0" w:noVBand="1" w:val="04A0"/>
      </w:tblPr>
      <w:tblGrid>
        <w:gridCol w:w="2700"/>
        <w:gridCol w:w="2700"/>
        <w:gridCol w:w="2700"/>
        <w:gridCol w:w="2700"/>
      </w:tblGrid>
      <w:tr>
        <w:tc>
          <w:tcPr>
            <w:tcW w:type="dxa" w:w="2700"/>
            <w:tcBorders>
              <w:top w:val="none"/>
              <w:left w:val="none"/>
              <w:bottom w:val="none"/>
              <w:right w:val="none"/>
            </w:tcBorders>
            <w:shd w:val="clear" w:fill="DFE6E9"/>
          </w:tcPr>
          <w:p>
            <w:pPr>
              <w:spacing w:after="40" w:before="40"/>
            </w:pPr>
            <w:r>
              <w:rPr>
                <w:sz w:val="19"/>
              </w:rPr>
              <w:t>Common Ground</w:t>
            </w:r>
          </w:p>
        </w:tc>
        <w:tc>
          <w:tcPr>
            <w:tcW w:type="dxa" w:w="2700"/>
            <w:tcBorders>
              <w:top w:val="none"/>
              <w:left w:val="none"/>
              <w:bottom w:val="none"/>
              <w:right w:val="none"/>
            </w:tcBorders>
            <w:shd w:val="clear" w:fill="DFE6E9"/>
          </w:tcPr>
          <w:p>
            <w:pPr>
              <w:spacing w:after="40" w:before="40"/>
            </w:pPr>
            <w:r>
              <w:rPr>
                <w:sz w:val="19"/>
              </w:rPr>
              <w:t>GEMMA</w:t>
            </w:r>
          </w:p>
        </w:tc>
        <w:tc>
          <w:tcPr>
            <w:tcW w:type="dxa" w:w="2700"/>
            <w:tcBorders>
              <w:top w:val="none"/>
              <w:left w:val="none"/>
              <w:bottom w:val="none"/>
              <w:right w:val="none"/>
            </w:tcBorders>
            <w:shd w:val="clear" w:fill="DFE6E9"/>
          </w:tcPr>
          <w:p>
            <w:pPr>
              <w:spacing w:after="40" w:before="40"/>
            </w:pPr>
            <w:r>
              <w:rPr>
                <w:sz w:val="19"/>
              </w:rPr>
              <w:t>PSA</w:t>
            </w:r>
          </w:p>
        </w:tc>
        <w:tc>
          <w:tcPr>
            <w:tcW w:type="dxa" w:w="2700"/>
            <w:tcBorders>
              <w:top w:val="none"/>
              <w:left w:val="none"/>
              <w:bottom w:val="none"/>
              <w:right w:val="none"/>
            </w:tcBorders>
            <w:shd w:val="clear" w:fill="DFE6E9"/>
          </w:tcPr>
          <w:p>
            <w:pPr>
              <w:spacing w:after="40" w:before="40"/>
            </w:pPr>
            <w:r>
              <w:rPr>
                <w:sz w:val="19"/>
              </w:rPr>
              <w:t>Federatieve Service Connectiviteit (FSC)</w:t>
            </w:r>
          </w:p>
        </w:tc>
      </w:tr>
      <w:tr>
        <w:tc>
          <w:tcPr>
            <w:tcW w:type="dxa" w:w="2700"/>
            <w:tcBorders>
              <w:top w:val="none"/>
              <w:left w:val="none"/>
              <w:bottom w:val="none"/>
              <w:right w:val="none"/>
            </w:tcBorders>
            <w:shd w:val="clear" w:fill="DFE6E9"/>
          </w:tcPr>
          <w:p>
            <w:pPr>
              <w:spacing w:after="40" w:before="40"/>
            </w:pPr>
            <w:r>
              <w:rPr>
                <w:sz w:val="19"/>
              </w:rPr>
              <w:t>NL API Strategie</w:t>
            </w:r>
          </w:p>
        </w:tc>
        <w:tc>
          <w:tcPr>
            <w:tcW w:type="dxa" w:w="2700"/>
            <w:tcBorders>
              <w:top w:val="none"/>
              <w:left w:val="none"/>
              <w:bottom w:val="none"/>
              <w:right w:val="none"/>
            </w:tcBorders>
            <w:shd w:val="clear" w:fill="DFE6E9"/>
          </w:tcPr>
          <w:p>
            <w:pPr>
              <w:spacing w:after="40" w:before="40"/>
            </w:pPr>
            <w:r>
              <w:rPr>
                <w:sz w:val="19"/>
              </w:rPr>
              <w:t>Zaakgericht werken</w:t>
            </w:r>
          </w:p>
        </w:tc>
        <w:tc>
          <w:tcPr>
            <w:tcW w:type="dxa" w:w="2700"/>
            <w:tcBorders>
              <w:top w:val="none"/>
              <w:left w:val="none"/>
              <w:bottom w:val="none"/>
              <w:right w:val="none"/>
            </w:tcBorders>
            <w:shd w:val="clear" w:fill="DFE6E9"/>
          </w:tcPr>
          <w:p>
            <w:pPr>
              <w:spacing w:after="40" w:before="40"/>
            </w:pPr>
            <w:r>
              <w:rPr>
                <w:sz w:val="19"/>
              </w:rPr>
              <w:t>BiZZdesign</w:t>
            </w:r>
          </w:p>
        </w:tc>
        <w:tc>
          <w:tcPr>
            <w:tcW w:type="dxa" w:w="2700"/>
            <w:tcBorders>
              <w:top w:val="none"/>
              <w:left w:val="none"/>
              <w:bottom w:val="none"/>
              <w:right w:val="none"/>
            </w:tcBorders>
            <w:shd w:val="clear" w:fill="DFE6E9"/>
          </w:tcPr>
          <w:p>
            <w:pPr>
              <w:spacing w:after="40" w:before="40"/>
            </w:pPr>
            <w:r>
              <w:rPr>
                <w:sz w:val="19"/>
              </w:rPr>
              <w:t>leveranciersmanagement</w:t>
            </w:r>
          </w:p>
        </w:tc>
      </w:tr>
      <w:tr>
        <w:tc>
          <w:tcPr>
            <w:tcW w:type="dxa" w:w="2700"/>
            <w:tcBorders>
              <w:top w:val="none"/>
              <w:left w:val="none"/>
              <w:bottom w:val="none"/>
              <w:right w:val="none"/>
            </w:tcBorders>
            <w:shd w:val="clear" w:fill="DFE6E9"/>
          </w:tcPr>
          <w:p>
            <w:pPr>
              <w:spacing w:after="40" w:before="40"/>
            </w:pPr>
            <w:r>
              <w:rPr>
                <w:sz w:val="19"/>
              </w:rPr>
              <w:t>Digitalisering overheid</w:t>
            </w:r>
          </w:p>
        </w:tc>
        <w:tc>
          <w:tcPr>
            <w:tcW w:type="dxa" w:w="2700"/>
            <w:tcBorders>
              <w:top w:val="none"/>
              <w:left w:val="none"/>
              <w:bottom w:val="none"/>
              <w:right w:val="none"/>
            </w:tcBorders>
            <w:shd w:val="clear" w:fill="DFE6E9"/>
          </w:tcPr>
          <w:p>
            <w:pPr>
              <w:spacing w:after="40" w:before="40"/>
            </w:pPr>
            <w:r>
              <w:rPr>
                <w:sz w:val="19"/>
              </w:rPr>
              <w:t>BlueDolphin</w:t>
            </w:r>
          </w:p>
        </w:tc>
        <w:tc>
          <w:tcPr>
            <w:tcW w:type="dxa" w:w="2700"/>
            <w:tcBorders>
              <w:top w:val="none"/>
              <w:left w:val="none"/>
              <w:bottom w:val="none"/>
              <w:right w:val="none"/>
            </w:tcBorders>
            <w:shd w:val="clear" w:fill="DFE6E9"/>
          </w:tcPr>
          <w:p>
            <w:pPr>
              <w:spacing w:after="40" w:before="40"/>
            </w:pPr>
            <w:r>
              <w:rPr>
                <w:sz w:val="19"/>
              </w:rPr>
              <w:t>API-Gateway</w:t>
            </w:r>
          </w:p>
        </w:tc>
        <w:tc>
          <w:tcPr>
            <w:tcW w:type="dxa" w:w="2700"/>
            <w:tcBorders>
              <w:top w:val="none"/>
              <w:left w:val="none"/>
              <w:bottom w:val="none"/>
              <w:right w:val="none"/>
            </w:tcBorders>
            <w:shd w:val="clear" w:fill="DFE6E9"/>
          </w:tcPr>
          <w:p>
            <w:pPr>
              <w:spacing w:after="40" w:before="40"/>
            </w:pPr>
            <w:r>
              <w:rPr>
                <w:sz w:val="19"/>
              </w:rPr>
              <w:t>Service Oriented Architecture</w:t>
            </w:r>
          </w:p>
        </w:tc>
      </w:tr>
      <w:tr>
        <w:tc>
          <w:tcPr>
            <w:tcW w:type="dxa" w:w="2700"/>
            <w:tcBorders>
              <w:top w:val="none"/>
              <w:left w:val="none"/>
              <w:bottom w:val="none"/>
              <w:right w:val="none"/>
            </w:tcBorders>
            <w:shd w:val="clear" w:fill="DFE6E9"/>
          </w:tcPr>
          <w:p>
            <w:pPr>
              <w:spacing w:after="40" w:before="40"/>
            </w:pPr>
            <w:r>
              <w:rPr>
                <w:sz w:val="19"/>
              </w:rPr>
              <w:t>SAFE</w:t>
            </w:r>
          </w:p>
        </w:tc>
        <w:tc>
          <w:tcPr>
            <w:tcW w:type="dxa" w:w="2700"/>
            <w:tcBorders>
              <w:top w:val="none"/>
              <w:left w:val="none"/>
              <w:bottom w:val="none"/>
              <w:right w:val="none"/>
            </w:tcBorders>
            <w:shd w:val="clear" w:fill="DFE6E9"/>
          </w:tcPr>
          <w:p>
            <w:pPr>
              <w:spacing w:after="40" w:before="40"/>
            </w:pPr>
            <w:r>
              <w:rPr>
                <w:sz w:val="19"/>
              </w:rPr>
              <w:t>migratie monolithisch systeem naar microservices</w:t>
            </w:r>
          </w:p>
        </w:tc>
        <w:tc>
          <w:tcPr>
            <w:tcW w:type="dxa" w:w="2700"/>
            <w:tcBorders>
              <w:top w:val="none"/>
              <w:left w:val="none"/>
              <w:bottom w:val="none"/>
              <w:right w:val="none"/>
            </w:tcBorders>
            <w:shd w:val="clear" w:fill="DFE6E9"/>
          </w:tcPr>
          <w:p>
            <w:pPr>
              <w:spacing w:after="40" w:before="40"/>
            </w:pPr>
            <w:r>
              <w:rPr>
                <w:sz w:val="19"/>
              </w:rPr>
              <w:t>micro frontend</w:t>
            </w:r>
          </w:p>
        </w:tc>
        <w:tc>
          <w:tcPr>
            <w:tcW w:type="dxa" w:w="2700"/>
            <w:tcBorders>
              <w:top w:val="none"/>
              <w:left w:val="none"/>
              <w:bottom w:val="none"/>
              <w:right w:val="none"/>
            </w:tcBorders>
            <w:shd w:val="clear" w:fill="DFE6E9"/>
          </w:tcPr>
          <w:p>
            <w:pPr>
              <w:spacing w:after="40" w:before="40"/>
            </w:pPr>
            <w:r>
              <w:rPr>
                <w:sz w:val="19"/>
              </w:rPr>
              <w:t>IAM</w:t>
            </w:r>
          </w:p>
        </w:tc>
      </w:tr>
      <w:tr>
        <w:tc>
          <w:tcPr>
            <w:tcW w:type="dxa" w:w="2700"/>
            <w:tcBorders>
              <w:top w:val="none"/>
              <w:left w:val="none"/>
              <w:bottom w:val="none"/>
              <w:right w:val="none"/>
            </w:tcBorders>
            <w:shd w:val="clear" w:fill="DFE6E9"/>
          </w:tcPr>
          <w:p>
            <w:pPr>
              <w:spacing w:after="40" w:before="40"/>
            </w:pPr>
            <w:r>
              <w:rPr>
                <w:sz w:val="19"/>
              </w:rPr>
              <w:t>Regelanalyse</w:t>
            </w:r>
          </w:p>
        </w:tc>
        <w:tc>
          <w:tcPr>
            <w:tcW w:type="dxa" w:w="2700"/>
            <w:tcBorders>
              <w:top w:val="none"/>
              <w:left w:val="none"/>
              <w:bottom w:val="none"/>
              <w:right w:val="none"/>
            </w:tcBorders>
            <w:shd w:val="clear" w:fill="DFE6E9"/>
          </w:tcPr>
          <w:p>
            <w:pPr>
              <w:spacing w:after="40" w:before="40"/>
            </w:pPr>
            <w:r>
              <w:rPr>
                <w:sz w:val="19"/>
              </w:rPr>
              <w:t>impactanalyse</w:t>
            </w:r>
          </w:p>
        </w:tc>
        <w:tc>
          <w:tcPr>
            <w:tcW w:type="dxa" w:w="2700"/>
            <w:tcBorders>
              <w:top w:val="none"/>
              <w:left w:val="none"/>
              <w:bottom w:val="none"/>
              <w:right w:val="none"/>
            </w:tcBorders>
            <w:shd w:val="clear" w:fill="DFE6E9"/>
          </w:tcPr>
          <w:p>
            <w:pPr>
              <w:spacing w:after="40" w:before="40"/>
            </w:pPr>
            <w:r>
              <w:rPr>
                <w:sz w:val="19"/>
              </w:rPr>
              <w:t>DYA</w:t>
            </w:r>
          </w:p>
        </w:tc>
        <w:tc>
          <w:tcPr>
            <w:tcW w:type="dxa" w:w="2700"/>
            <w:tcBorders>
              <w:top w:val="none"/>
              <w:left w:val="none"/>
              <w:bottom w:val="none"/>
              <w:right w:val="none"/>
            </w:tcBorders>
            <w:shd w:val="clear" w:fill="DFE6E9"/>
          </w:tcPr>
          <w:p>
            <w:pPr>
              <w:spacing w:after="40" w:before="40"/>
            </w:pPr>
            <w:r>
              <w:rPr>
                <w:sz w:val="19"/>
              </w:rPr>
              <w:t>Digitalisering</w:t>
            </w:r>
          </w:p>
        </w:tc>
      </w:tr>
      <w:tr>
        <w:tc>
          <w:tcPr>
            <w:tcW w:type="dxa" w:w="2700"/>
            <w:tcBorders>
              <w:top w:val="none"/>
              <w:left w:val="none"/>
              <w:bottom w:val="none"/>
              <w:right w:val="none"/>
            </w:tcBorders>
            <w:shd w:val="clear" w:fill="DFE6E9"/>
          </w:tcPr>
          <w:p>
            <w:pPr>
              <w:spacing w:after="40" w:before="40"/>
            </w:pPr>
            <w:r>
              <w:rPr>
                <w:sz w:val="19"/>
              </w:rPr>
              <w:t>migratie van monoliet naar microservices</w:t>
            </w:r>
          </w:p>
        </w:tc>
        <w:tc>
          <w:tcPr>
            <w:tcW w:type="dxa" w:w="2700"/>
            <w:tcBorders>
              <w:top w:val="none"/>
              <w:left w:val="none"/>
              <w:bottom w:val="none"/>
              <w:right w:val="none"/>
            </w:tcBorders>
            <w:shd w:val="clear" w:fill="DFE6E9"/>
          </w:tcPr>
          <w:p>
            <w:pPr>
              <w:spacing w:after="40" w:before="40"/>
            </w:pPr>
            <w:r>
              <w:rPr>
                <w:sz w:val="19"/>
              </w:rPr>
              <w:t>Hypotheken</w:t>
            </w:r>
          </w:p>
        </w:tc>
        <w:tc>
          <w:tcPr>
            <w:tcW w:type="dxa" w:w="2700"/>
            <w:tcBorders>
              <w:top w:val="none"/>
              <w:left w:val="none"/>
              <w:bottom w:val="none"/>
              <w:right w:val="none"/>
            </w:tcBorders>
            <w:shd w:val="clear" w:fill="DFE6E9"/>
          </w:tcPr>
          <w:p>
            <w:pPr>
              <w:spacing w:after="40" w:before="40"/>
            </w:pPr>
            <w:r>
              <w:rPr>
                <w:sz w:val="19"/>
              </w:rPr>
              <w:t>migratie hypotheekportefeuille</w:t>
            </w:r>
          </w:p>
        </w:tc>
        <w:tc>
          <w:tcPr>
            <w:tcW w:type="dxa" w:w="2700"/>
            <w:tcBorders>
              <w:top w:val="none"/>
              <w:left w:val="none"/>
              <w:bottom w:val="none"/>
              <w:right w:val="none"/>
            </w:tcBorders>
            <w:shd w:val="clear" w:fill="DFE6E9"/>
          </w:tcPr>
          <w:p>
            <w:pPr>
              <w:spacing w:after="40" w:before="40"/>
            </w:pPr>
            <w:r>
              <w:rPr>
                <w:sz w:val="19"/>
              </w:rPr>
              <w:t>Data-warehouse</w:t>
            </w:r>
          </w:p>
        </w:tc>
      </w:tr>
      <w:tr>
        <w:tc>
          <w:tcPr>
            <w:tcW w:type="dxa" w:w="2700"/>
            <w:tcBorders>
              <w:top w:val="none"/>
              <w:left w:val="none"/>
              <w:bottom w:val="none"/>
              <w:right w:val="none"/>
            </w:tcBorders>
            <w:shd w:val="clear" w:fill="DFE6E9"/>
          </w:tcPr>
          <w:p>
            <w:pPr>
              <w:spacing w:after="40" w:before="40"/>
            </w:pPr>
            <w:r>
              <w:rPr>
                <w:sz w:val="19"/>
              </w:rPr>
              <w:t>Outsourcing India</w:t>
            </w:r>
          </w:p>
        </w:tc>
        <w:tc>
          <w:tcPr>
            <w:tcW w:type="dxa" w:w="2700"/>
            <w:tcBorders>
              <w:top w:val="none"/>
              <w:left w:val="none"/>
              <w:bottom w:val="none"/>
              <w:right w:val="none"/>
            </w:tcBorders>
            <w:shd w:val="clear" w:fill="DFE6E9"/>
          </w:tcPr>
          <w:p>
            <w:pPr>
              <w:spacing w:after="40" w:before="40"/>
            </w:pPr>
            <w:r>
              <w:rPr>
                <w:sz w:val="19"/>
              </w:rPr>
              <w:t>splitsing energiemarkt</w:t>
            </w:r>
          </w:p>
        </w:tc>
        <w:tc>
          <w:tcPr>
            <w:tcW w:type="dxa" w:w="2700"/>
            <w:tcBorders>
              <w:top w:val="none"/>
              <w:left w:val="none"/>
              <w:bottom w:val="none"/>
              <w:right w:val="none"/>
            </w:tcBorders>
            <w:shd w:val="clear" w:fill="DFE6E9"/>
          </w:tcPr>
          <w:p>
            <w:pPr>
              <w:spacing w:after="40" w:before="40"/>
            </w:pPr>
            <w:r>
              <w:rPr>
                <w:sz w:val="19"/>
              </w:rPr>
              <w:t>conversie</w:t>
            </w:r>
          </w:p>
        </w:tc>
        <w:tc>
          <w:tcPr>
            <w:tcW w:type="dxa" w:w="2700"/>
            <w:tcBorders>
              <w:top w:val="none"/>
              <w:left w:val="none"/>
              <w:bottom w:val="none"/>
              <w:right w:val="none"/>
            </w:tcBorders>
            <w:shd w:val="clear" w:fill="DFE6E9"/>
          </w:tcPr>
          <w:p>
            <w:pPr>
              <w:spacing w:after="40" w:before="40"/>
            </w:pPr>
            <w:r>
              <w:rPr>
                <w:sz w:val="19"/>
              </w:rPr>
              <w:t>Oracle</w:t>
            </w:r>
          </w:p>
        </w:tc>
      </w:tr>
      <w:tr>
        <w:tc>
          <w:tcPr>
            <w:tcW w:type="dxa" w:w="2700"/>
            <w:tcBorders>
              <w:top w:val="none"/>
              <w:left w:val="none"/>
              <w:bottom w:val="none"/>
              <w:right w:val="none"/>
            </w:tcBorders>
            <w:shd w:val="clear" w:fill="DFE6E9"/>
          </w:tcPr>
          <w:p>
            <w:pPr>
              <w:spacing w:after="40" w:before="40"/>
            </w:pPr>
            <w:r>
              <w:rPr>
                <w:sz w:val="19"/>
              </w:rPr>
              <w:t>ITIL</w:t>
            </w:r>
          </w:p>
        </w:tc>
        <w:tc>
          <w:tcPr>
            <w:tcW w:type="dxa" w:w="2700"/>
            <w:tcBorders>
              <w:top w:val="none"/>
              <w:left w:val="none"/>
              <w:bottom w:val="none"/>
              <w:right w:val="none"/>
            </w:tcBorders>
            <w:shd w:val="clear" w:fill="DFE6E9"/>
          </w:tcPr>
          <w:p>
            <w:pPr>
              <w:spacing w:after="40" w:before="40"/>
            </w:pPr>
            <w:r>
              <w:rPr>
                <w:sz w:val="19"/>
              </w:rPr>
              <w:t>billing-applicatie</w:t>
            </w:r>
          </w:p>
        </w:tc>
        <w:tc>
          <w:tcPr>
            <w:tcW w:type="dxa" w:w="2700"/>
            <w:tcBorders>
              <w:top w:val="none"/>
              <w:left w:val="none"/>
              <w:bottom w:val="none"/>
              <w:right w:val="none"/>
            </w:tcBorders>
            <w:shd w:val="clear" w:fill="DFE6E9"/>
          </w:tcPr>
          <w:p>
            <w:pPr>
              <w:spacing w:after="40" w:before="40"/>
            </w:pPr>
            <w:r>
              <w:rPr>
                <w:sz w:val="19"/>
              </w:rPr>
              <w:t>bankwezen</w:t>
            </w:r>
          </w:p>
        </w:tc>
        <w:tc>
          <w:tcPr>
            <w:tcW w:type="dxa" w:w="2700"/>
            <w:tcBorders>
              <w:top w:val="none"/>
              <w:left w:val="none"/>
              <w:bottom w:val="none"/>
              <w:right w:val="none"/>
            </w:tcBorders>
            <w:shd w:val="clear" w:fill="DFE6E9"/>
          </w:tcPr>
          <w:p>
            <w:pPr>
              <w:spacing w:after="40" w:before="40"/>
            </w:pPr>
            <w:r>
              <w:rPr>
                <w:sz w:val="19"/>
              </w:rPr>
              <w:t>energiesector</w:t>
            </w:r>
          </w:p>
        </w:tc>
      </w:tr>
      <w:tr>
        <w:tc>
          <w:tcPr>
            <w:tcW w:type="dxa" w:w="2700"/>
            <w:tcBorders>
              <w:top w:val="none"/>
              <w:left w:val="none"/>
              <w:bottom w:val="none"/>
              <w:right w:val="none"/>
            </w:tcBorders>
            <w:shd w:val="clear" w:fill="DFE6E9"/>
          </w:tcPr>
          <w:p>
            <w:pPr>
              <w:spacing w:after="40" w:before="40"/>
            </w:pPr>
            <w:r>
              <w:rPr>
                <w:sz w:val="19"/>
              </w:rPr>
              <w:t>ArchiMate® 3</w:t>
            </w:r>
          </w:p>
        </w:tc>
        <w:tc>
          <w:tcPr>
            <w:tcW w:type="dxa" w:w="2700"/>
            <w:tcBorders>
              <w:top w:val="none"/>
              <w:left w:val="none"/>
              <w:bottom w:val="none"/>
              <w:right w:val="none"/>
            </w:tcBorders>
            <w:shd w:val="clear" w:fill="DFE6E9"/>
          </w:tcPr>
          <w:p>
            <w:pPr>
              <w:spacing w:after="40" w:before="40"/>
            </w:pPr>
            <w:r>
              <w:rPr>
                <w:sz w:val="19"/>
              </w:rPr>
              <w:t>SAFe® 5 Architect</w:t>
            </w:r>
          </w:p>
        </w:tc>
        <w:tc>
          <w:tcPr>
            <w:tcW w:type="dxa" w:w="2700"/>
            <w:tcBorders>
              <w:top w:val="none"/>
              <w:left w:val="none"/>
              <w:bottom w:val="none"/>
              <w:right w:val="none"/>
            </w:tcBorders>
            <w:shd w:val="clear" w:fill="DFE6E9"/>
          </w:tcPr>
          <w:p>
            <w:pPr>
              <w:spacing w:after="40" w:before="40"/>
            </w:pPr>
            <w:r>
              <w:rPr>
                <w:sz w:val="19"/>
              </w:rPr>
              <w:t>SOA Professional Gen 1 (mod 1,3, 8) (Honors)</w:t>
            </w:r>
          </w:p>
        </w:tc>
        <w:tc>
          <w:tcPr>
            <w:tcW w:type="dxa" w:w="2700"/>
            <w:shd w:val="clear" w:fill="FFFFFF"/>
          </w:tcPr>
          <w:p/>
        </w:tc>
      </w:tr>
    </w:tbl>
    <w:p>
      <w:pPr>
        <w:spacing w:after="60"/>
      </w:pPr>
    </w:p>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0A66C2"/>
          <w:sz w:val="22"/>
        </w:rPr>
        <w:t>ACHTERGROND</w:t>
      </w:r>
    </w:p>
    <w:p>
      <w:pPr>
        <w:spacing w:after="60"/>
      </w:pPr>
      <w:r>
        <w:rPr>
          <w:b/>
          <w:color w:val="636E72"/>
          <w:sz w:val="20"/>
        </w:rPr>
        <w:t>Opleidingen</w:t>
      </w:r>
    </w:p>
    <w:p>
      <w:pPr>
        <w:spacing w:after="60"/>
      </w:pPr>
      <w:r>
        <w:rPr>
          <w:color w:val="636E72"/>
          <w:sz w:val="22"/>
        </w:rPr>
        <w:t xml:space="preserve">1997  </w:t>
      </w:r>
      <w:r>
        <w:t>PION</w:t>
      </w:r>
      <w:r>
        <w:t xml:space="preserve"> — Siemens</w:t>
      </w:r>
      <w:r>
        <w:t>, Den Haag</w:t>
      </w:r>
    </w:p>
    <w:p>
      <w:pPr>
        <w:spacing w:after="60"/>
      </w:pPr>
      <w:r>
        <w:rPr>
          <w:color w:val="636E72"/>
          <w:sz w:val="22"/>
        </w:rPr>
        <w:t xml:space="preserve">1989–1995  </w:t>
      </w:r>
      <w:r>
        <w:t>WO Algemene Economie</w:t>
      </w:r>
      <w:r>
        <w:t xml:space="preserve"> — Erasmus Universiteit</w:t>
      </w:r>
      <w:r>
        <w:t>, Rotterdam</w:t>
      </w:r>
    </w:p>
    <w:p>
      <w:pPr>
        <w:spacing w:after="60"/>
      </w:pPr>
      <w:r>
        <w:rPr>
          <w:color w:val="636E72"/>
          <w:sz w:val="22"/>
        </w:rPr>
        <w:t xml:space="preserve">1983–1989  </w:t>
      </w:r>
      <w:r>
        <w:t>VWO</w:t>
      </w:r>
      <w:r>
        <w:t xml:space="preserve"> — Willem de Zwijger</w:t>
      </w:r>
      <w:r>
        <w:t>, Schoonhoven</w:t>
      </w:r>
    </w:p>
    <w:p>
      <w:pPr>
        <w:spacing w:after="60"/>
      </w:pPr>
      <w:r>
        <w:rPr>
          <w:b/>
          <w:color w:val="636E72"/>
          <w:sz w:val="20"/>
        </w:rPr>
        <w:t>Belangrijkste certificeringen</w:t>
      </w:r>
    </w:p>
    <w:p>
      <w:pPr>
        <w:spacing w:after="60"/>
      </w:pPr>
      <w:r>
        <w:rPr>
          <w:color w:val="636E72"/>
        </w:rPr>
        <w:t xml:space="preserve">2025  </w:t>
      </w:r>
      <w:r>
        <w:t>ArchiMate® 3</w:t>
      </w:r>
      <w:r>
        <w:t xml:space="preserve"> — The Open Group</w:t>
      </w:r>
    </w:p>
    <w:p>
      <w:pPr>
        <w:spacing w:after="60"/>
      </w:pPr>
      <w:r>
        <w:rPr>
          <w:color w:val="636E72"/>
        </w:rPr>
        <w:t xml:space="preserve">2022  </w:t>
      </w:r>
      <w:r>
        <w:t>SAFe® 5 Architect</w:t>
      </w:r>
      <w:r>
        <w:t xml:space="preserve"> — Scaled Agile Inc</w:t>
      </w:r>
    </w:p>
    <w:p>
      <w:pPr>
        <w:spacing w:after="60"/>
      </w:pPr>
      <w:r>
        <w:rPr>
          <w:color w:val="636E72"/>
        </w:rPr>
        <w:t xml:space="preserve">2019  </w:t>
      </w:r>
      <w:r>
        <w:t>SOA Professional Gen 1 (mod 1,3, 8) (Honors)</w:t>
      </w:r>
      <w:r>
        <w:t xml:space="preserve"> — Arcitura</w:t>
      </w:r>
    </w:p>
    <w:p>
      <w:pPr>
        <w:pBdr>
          <w:bottom w:val="single" w:sz="6" w:space="1" w:color="B2BEC3"/>
        </w:pBdr>
      </w:pPr>
    </w:p>
    <w:p>
      <w:r>
        <w:rPr>
          <w:b/>
          <w:color w:val="0A66C2"/>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0A66C2"/>
          <w:sz w:val="22"/>
        </w:rPr>
        <w:t>OVERIGE CURSUSSEN</w:t>
      </w:r>
    </w:p>
    <w:p>
      <w:pPr>
        <w:spacing w:after="60"/>
      </w:pPr>
      <w:r>
        <w:t>Mastering the Requirements Process (Volere), Woningfinanciering I, Prince 2 Foundation, Dimensionaal Modelleren voor Datawarehouses, Business English, Methode en technieken voor informatieanalyse, Informatiesysteem-architectuur, Functioneel ontwerp van administratieve systemen, Testen in de praktijk, Certificering Oracle SQL, PL/SQL Opleiding tot Oracle Developer, Entity Relationship Modelling, Database ontwerp</w:t>
      </w:r>
    </w:p>
    <w:p>
      <w:pPr>
        <w:pBdr>
          <w:bottom w:val="single" w:sz="6" w:space="1" w:color="B2BEC3"/>
        </w:pBdr>
      </w:pPr>
    </w:p>
    <w:p>
      <w:r>
        <w:rPr>
          <w:b/>
          <w:color w:val="0A66C2"/>
          <w:sz w:val="22"/>
        </w:rPr>
        <w:t>WERKERVARING</w:t>
      </w:r>
    </w:p>
    <w:p>
      <w:pPr>
        <w:spacing w:after="120"/>
      </w:pPr>
      <w:r>
        <w:rPr>
          <w:color w:val="636E72"/>
        </w:rPr>
        <w:t xml:space="preserve">2026 – heden  </w:t>
      </w:r>
      <w:r>
        <w:t>Gemeente Utrecht</w:t>
      </w:r>
      <w:r>
        <w:t xml:space="preserve"> — Solution Architect Common Ground</w:t>
      </w:r>
    </w:p>
    <w:p>
      <w:pPr>
        <w:spacing w:after="60"/>
      </w:pPr>
      <w:r>
        <w:rPr>
          <w:b/>
          <w:color w:val="636E72"/>
          <w:sz w:val="20"/>
        </w:rPr>
        <w:t>Werkzaamheden</w:t>
      </w:r>
    </w:p>
    <w:p>
      <w:pPr>
        <w:spacing w:after="120"/>
      </w:pPr>
      <w:r>
        <w:t>• Opstellen van Project Start Architecturen (PSA's) voor digitale voorzieningen, aansluitend op de Common Ground-principes.</w:t>
      </w:r>
      <w:r>
        <w:br/>
      </w:r>
      <w:r>
        <w:t>• Afstemming met leveranciers over doorontwikkeling van applicaties en componenten conform Common Ground; beoordelen van roadmaps en architectuurkeuzes.</w:t>
      </w:r>
      <w:r>
        <w:br/>
      </w:r>
      <w:r>
        <w:t>• Adviseren over de transitie van monolithische naar componentgerichte architectuur op basis van open standaarden en herbruikbare bouwstenen.</w:t>
      </w:r>
      <w:r>
        <w:br/>
      </w:r>
      <w:r>
        <w:t>• Bijdragen aan gemeentebrede architectuurkaders en het vertalen van GEMMA-richtlijnen naar concrete oplossingen.</w:t>
      </w:r>
    </w:p>
    <w:p>
      <w:pPr>
        <w:spacing w:after="60"/>
      </w:pPr>
      <w:r>
        <w:rPr>
          <w:b/>
          <w:color w:val="636E72"/>
          <w:sz w:val="20"/>
        </w:rPr>
        <w:t>Belangrijkste prestaties</w:t>
      </w:r>
    </w:p>
    <w:p>
      <w:pPr>
        <w:spacing w:after="120"/>
      </w:pPr>
      <w:r>
        <w:t>• Leveranciers constructief begeleid in het aligneren van hun productontwikkeling op Common Ground-principes en open standaarden.</w:t>
      </w:r>
      <w:r>
        <w:br/>
      </w:r>
      <w:r>
        <w:t>• Bestaande Thema-architectuur vertaald naar Archimate views.</w:t>
      </w:r>
      <w:r>
        <w:br/>
      </w:r>
      <w:r>
        <w:t>• Verbeteren overlegstructuren architecten.</w:t>
      </w:r>
    </w:p>
    <w:p>
      <w:pPr>
        <w:spacing w:after="60"/>
      </w:pPr>
      <w:r>
        <w:rPr>
          <w:b/>
          <w:color w:val="636E72"/>
          <w:sz w:val="20"/>
        </w:rPr>
        <w:t>Trefwoorden</w:t>
      </w:r>
    </w:p>
    <w:p>
      <w:pPr>
        <w:spacing w:after="120"/>
      </w:pPr>
      <w:r>
        <w:t>Common Ground, GEMMA, PSA, Federatieve Service Connectiviteit (FSC), NL API Strategie, Zaakgericht werken, BiZZdesign, leveranciersmanagement, Digitalisering overheid</w:t>
      </w:r>
    </w:p>
    <w:p>
      <w:pPr>
        <w:pBdr>
          <w:bottom w:val="single" w:sz="6" w:space="1" w:color="B2BEC3"/>
        </w:pBdr>
      </w:pPr>
    </w:p>
    <w:p>
      <w:pPr>
        <w:spacing w:after="120"/>
      </w:pPr>
      <w:r>
        <w:rPr>
          <w:color w:val="636E72"/>
        </w:rPr>
        <w:t xml:space="preserve">2025 – 2025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spacing w:after="60"/>
      </w:pPr>
      <w:r>
        <w:rPr>
          <w:b/>
          <w:color w:val="636E72"/>
          <w:sz w:val="20"/>
        </w:rPr>
        <w:t>Belangrijkste prestaties</w:t>
      </w:r>
    </w:p>
    <w:p>
      <w:pPr>
        <w:spacing w:after="120"/>
      </w:pPr>
      <w:r>
        <w:t>• Architectuurdenken verankerd in de organisatie door een reeks minicursussen en praktische templates; teams betrekken nu vroegtijdig architectuur en besluiten worden vastgelegd met ADR’s.</w:t>
      </w:r>
    </w:p>
    <w:p>
      <w:pPr>
        <w:spacing w:after="60"/>
      </w:pPr>
      <w:r>
        <w:rPr>
          <w:b/>
          <w:color w:val="636E72"/>
          <w:sz w:val="20"/>
        </w:rPr>
        <w:t>Trefwoorden</w:t>
      </w:r>
    </w:p>
    <w:p>
      <w:pPr>
        <w:spacing w:after="120"/>
      </w:pPr>
      <w:r>
        <w:t>GEMMA, Common Ground, BlueDolphin, Digitalisering overheid, Federatieve Service Connectiviteit (FSC), API-Gateway</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portfolio-laag ruimte komt om enablers te realiseren waarmee de visie wordt vormgegeven. Het traject bestaat uit een complexe migratie van een monoliet naar een gedistribueerd systeem. Daarnaast is een migratie uitgevoerd van een traditioneel hosting platform naar Red 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spacing w:after="60"/>
      </w:pPr>
      <w:r>
        <w:rPr>
          <w:b/>
          <w:color w:val="636E72"/>
          <w:sz w:val="20"/>
        </w:rPr>
        <w:t>Belangrijkste prestaties</w:t>
      </w:r>
    </w:p>
    <w:p>
      <w:pPr>
        <w:spacing w:after="120"/>
      </w:pPr>
      <w:r>
        <w:t>• Door agile-teams actief te ondersteunen en aandachtig te luisteren naar hun uitdagingen, heb ik bijgedragen aan een cultuur waarin externe ontwikkelaars zich verbonden voelen met de doelstellingen van de Belastingdienst. Dit stimuleert hen om met betrokkenheid en toewijding te werken aan deze doelen en versterkt de innovatiekracht binnen de organisatie, waardoor het ontwikkelen van software steeds aantrekkelijker wordt.</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spacing w:after="60"/>
      </w:pPr>
      <w:r>
        <w:rPr>
          <w:b/>
          <w:color w:val="636E72"/>
          <w:sz w:val="20"/>
        </w:rPr>
        <w:t>Belangrijkste prestaties</w:t>
      </w:r>
    </w:p>
    <w:p>
      <w:pPr>
        <w:spacing w:after="120"/>
      </w:pPr>
      <w:r>
        <w:t>Herziening van de technologiekeuzes waarbij de doeltechnologie is herzien. Daarnaast heb ik de keuzes op het gebied van orkestratie en asynchrone verwerkingen en communicatiepatronen vastgelegd en uitgedragen aan de teams.</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impactanalyses en het vastleggen van een referentiearchitectuur voor het realiseren van een servicegeoriënteerd landschap.</w:t>
      </w:r>
    </w:p>
    <w:p>
      <w:pPr>
        <w:spacing w:after="60"/>
      </w:pPr>
      <w:r>
        <w:rPr>
          <w:b/>
          <w:color w:val="636E72"/>
          <w:sz w:val="20"/>
        </w:rPr>
        <w:t>Belangrijkste prestaties</w:t>
      </w:r>
    </w:p>
    <w:p>
      <w:pPr>
        <w:spacing w:after="120"/>
      </w:pPr>
      <w:r>
        <w:t>Architecten van het IH-domein gemotiveerd en geactiveerd om een servicegeoriënteerde aanpak te adopteren, waarmee de basis is gelegd voor een toekomstvaste architectuur.</w:t>
      </w:r>
    </w:p>
    <w:p>
      <w:pPr>
        <w:spacing w:after="60"/>
      </w:pPr>
      <w:r>
        <w:rPr>
          <w:b/>
          <w:color w:val="636E72"/>
          <w:sz w:val="20"/>
        </w:rPr>
        <w:t>Trefwoorden</w:t>
      </w:r>
    </w:p>
    <w:p>
      <w:pPr>
        <w:spacing w:after="120"/>
      </w:pPr>
      <w:r>
        <w:t>Service Oriented Architecture, Regelanalyse, impactanalyse</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spacing w:after="60"/>
      </w:pPr>
      <w:r>
        <w:rPr>
          <w:b/>
          <w:color w:val="636E72"/>
          <w:sz w:val="20"/>
        </w:rPr>
        <w:t>Belangrijkste prestaties</w:t>
      </w:r>
    </w:p>
    <w:p>
      <w:pPr>
        <w:spacing w:after="120"/>
      </w:pPr>
      <w:r>
        <w:t>In 2010 ben ik gevraagd om IT-architectuur in te richten bij een kleine IT organisatie. In 2018 zijn er zes IT-architecten in functie bij Stater, ligt er een door Gartner als kwalitatief zeer goed beoordeelde referentiearchitectuur voor digitale transformatie en is IT-architectuur vanzelfsprekend in de inmiddels middelgrote IT-organisatie.</w:t>
      </w:r>
    </w:p>
    <w:p>
      <w:pPr>
        <w:spacing w:after="60"/>
      </w:pPr>
      <w:r>
        <w:rPr>
          <w:b/>
          <w:color w:val="636E72"/>
          <w:sz w:val="20"/>
        </w:rPr>
        <w:t>Trefwoorden</w:t>
      </w:r>
    </w:p>
    <w:p>
      <w:pPr>
        <w:spacing w:after="120"/>
      </w:pPr>
      <w:r>
        <w:t>DYA, PSA, Digitalisering, migratie van monoliet naar microservices</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spacing w:after="60"/>
      </w:pPr>
      <w:r>
        <w:rPr>
          <w:b/>
          <w:color w:val="636E72"/>
          <w:sz w:val="20"/>
        </w:rPr>
        <w:t>Belangrijkste prestaties</w:t>
      </w:r>
    </w:p>
    <w:p>
      <w:pPr>
        <w:spacing w:after="120"/>
      </w:pPr>
      <w:r>
        <w:t>Succesvol en zelfstandig regie gevoerd over complexe conversie-issues in een onbekend domein, wat heeft geleid tot een foutloze migratie van een grote hypotheekportefeuille.</w:t>
      </w:r>
    </w:p>
    <w:p>
      <w:pPr>
        <w:spacing w:after="60"/>
      </w:pPr>
      <w:r>
        <w:rPr>
          <w:b/>
          <w:color w:val="636E72"/>
          <w:sz w:val="20"/>
        </w:rPr>
        <w:t>Trefwoorden</w:t>
      </w:r>
    </w:p>
    <w:p>
      <w:pPr>
        <w:spacing w:after="120"/>
      </w:pPr>
      <w:r>
        <w:t>Hypotheken, migratie hypotheekportefeuille, Data-warehouse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was ik verantwoordelijk voor informatieanalyse, onderhoud van het logisch datamodel, functioneel ontwerp en test in een omgeving waarbij de ontwikkeling in India plaatsvond.</w:t>
      </w:r>
    </w:p>
    <w:p>
      <w:pPr>
        <w:spacing w:after="60"/>
      </w:pPr>
      <w:r>
        <w:rPr>
          <w:b/>
          <w:color w:val="636E72"/>
          <w:sz w:val="20"/>
        </w:rPr>
        <w:t>Belangrijkste prestaties</w:t>
      </w:r>
    </w:p>
    <w:p>
      <w:pPr>
        <w:spacing w:after="120"/>
      </w:pPr>
      <w:r>
        <w:t>Regiefunctie bij de succesvolle conversie van de splitsing van de energiemarkt in Nederland.</w:t>
      </w:r>
    </w:p>
    <w:p>
      <w:pPr>
        <w:spacing w:after="60"/>
      </w:pPr>
      <w:r>
        <w:rPr>
          <w:b/>
          <w:color w:val="636E72"/>
          <w:sz w:val="20"/>
        </w:rPr>
        <w:t>Trefwoorden</w:t>
      </w:r>
    </w:p>
    <w:p>
      <w:pPr>
        <w:spacing w:after="120"/>
      </w:pPr>
      <w:r>
        <w:t>Outsourcing India, splitsing energiemarkt, conversie</w:t>
      </w:r>
    </w:p>
    <w:p>
      <w:pPr>
        <w:pBdr>
          <w:bottom w:val="single" w:sz="6" w:space="1" w:color="B2BEC3"/>
        </w:pBdr>
      </w:pPr>
    </w:p>
    <w:p>
      <w:pPr>
        <w:spacing w:after="120"/>
      </w:pPr>
      <w:r>
        <w:rPr>
          <w:color w:val="636E72"/>
        </w:rPr>
        <w:t xml:space="preserve">1997 – 2005  </w:t>
      </w:r>
      <w:r>
        <w:t>Atos Origin</w:t>
      </w:r>
      <w:r>
        <w:t xml:space="preserve"> — Applicatieontwikkelaar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spacing w:after="60"/>
      </w:pPr>
      <w:r>
        <w:rPr>
          <w:b/>
          <w:color w:val="636E72"/>
          <w:sz w:val="20"/>
        </w:rPr>
        <w:t>Belangrijkste prestaties</w:t>
      </w:r>
    </w:p>
    <w:p>
      <w:pPr>
        <w:spacing w:after="120"/>
      </w:pPr>
      <w:r>
        <w:t>Continu verbeterproces vormgegeven voor het uitvoeren van applicatieonderhoud (ITIL). Als jong talent ook ingezet bij Atos Origin om landelijk verbeteringen door te voeren.</w:t>
      </w:r>
    </w:p>
    <w:p>
      <w:pPr>
        <w:spacing w:after="60"/>
      </w:pPr>
      <w:r>
        <w:rPr>
          <w:b/>
          <w:color w:val="636E72"/>
          <w:sz w:val="20"/>
        </w:rPr>
        <w:t>Trefwoorden</w:t>
      </w:r>
    </w:p>
    <w:p>
      <w:pPr>
        <w:spacing w:after="120"/>
      </w:pPr>
      <w:r>
        <w:t>Oracle, ITIL, billing-applicatie, bankwezen, energiesector</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