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36E72"/>
          <w:sz w:val="22"/>
        </w:rPr>
        <w:t>PERSOONLIJKE GEGEVENS</w:t>
      </w:r>
    </w:p>
    <w:tbl>
      <w:tblPr>
        <w:tblStyle w:val="TableGrid"/>
        <w:tblW w:type="auto" w:w="0"/>
        <w:tblLayout w:type="fixed"/>
        <w:tblLook w:firstColumn="1" w:firstRow="1" w:lastColumn="0" w:lastRow="0" w:noHBand="0" w:noVBand="1" w:val="04A0"/>
      </w:tblPr>
      <w:tblGrid>
        <w:gridCol w:w="5400"/>
        <w:gridCol w:w="5400"/>
      </w:tblGrid>
      <w:tr>
        <w:tc>
          <w:tcPr>
            <w:tcW w:type="dxa" w:w="5400"/>
            <w:tcBorders>
              <w:top w:val="none"/>
              <w:left w:val="none"/>
              <w:bottom w:val="none"/>
              <w:right w:val="none"/>
            </w:tcBorders>
          </w:tcPr>
          <w:p>
            <w:r>
              <w:rPr>
                <w:b/>
                <w:color w:val="636E72"/>
                <w:sz w:val="22"/>
              </w:rPr>
              <w:t>Naam</w:t>
            </w:r>
          </w:p>
        </w:tc>
        <w:tc>
          <w:tcPr>
            <w:tcW w:type="dxa" w:w="5400"/>
            <w:tcBorders>
              <w:top w:val="none"/>
              <w:left w:val="none"/>
              <w:bottom w:val="none"/>
              <w:right w:val="none"/>
            </w:tcBorders>
          </w:tcPr>
          <w:p>
            <w:r>
              <w:rPr>
                <w:sz w:val="22"/>
              </w:rPr>
              <w:t>Johannes Blok</w:t>
            </w:r>
          </w:p>
        </w:tc>
      </w:tr>
      <w:tr>
        <w:tc>
          <w:tcPr>
            <w:tcW w:type="dxa" w:w="5400"/>
            <w:tcBorders>
              <w:top w:val="none"/>
              <w:left w:val="none"/>
              <w:bottom w:val="none"/>
              <w:right w:val="none"/>
            </w:tcBorders>
          </w:tcPr>
          <w:p>
            <w:r>
              <w:rPr>
                <w:b/>
                <w:color w:val="636E72"/>
                <w:sz w:val="22"/>
              </w:rPr>
              <w:t>Roepnaam</w:t>
            </w:r>
          </w:p>
        </w:tc>
        <w:tc>
          <w:tcPr>
            <w:tcW w:type="dxa" w:w="5400"/>
            <w:tcBorders>
              <w:top w:val="none"/>
              <w:left w:val="none"/>
              <w:bottom w:val="none"/>
              <w:right w:val="none"/>
            </w:tcBorders>
          </w:tcPr>
          <w:p>
            <w:r>
              <w:rPr>
                <w:sz w:val="22"/>
              </w:rPr>
              <w:t>Hans</w:t>
            </w:r>
          </w:p>
        </w:tc>
      </w:tr>
      <w:tr>
        <w:tc>
          <w:tcPr>
            <w:tcW w:type="dxa" w:w="5400"/>
            <w:tcBorders>
              <w:top w:val="none"/>
              <w:left w:val="none"/>
              <w:bottom w:val="none"/>
              <w:right w:val="none"/>
            </w:tcBorders>
          </w:tcPr>
          <w:p>
            <w:r>
              <w:rPr>
                <w:b/>
                <w:color w:val="636E72"/>
                <w:sz w:val="22"/>
              </w:rPr>
              <w:t>Woonplaats</w:t>
            </w:r>
          </w:p>
        </w:tc>
        <w:tc>
          <w:tcPr>
            <w:tcW w:type="dxa" w:w="5400"/>
            <w:tcBorders>
              <w:top w:val="none"/>
              <w:left w:val="none"/>
              <w:bottom w:val="none"/>
              <w:right w:val="none"/>
            </w:tcBorders>
          </w:tcPr>
          <w:p>
            <w:r>
              <w:rPr>
                <w:sz w:val="22"/>
              </w:rPr>
              <w:t>Wijk bij Duurstede</w:t>
            </w:r>
          </w:p>
        </w:tc>
      </w:tr>
      <w:tr>
        <w:tc>
          <w:tcPr>
            <w:tcW w:type="dxa" w:w="5400"/>
            <w:tcBorders>
              <w:top w:val="none"/>
              <w:left w:val="none"/>
              <w:bottom w:val="none"/>
              <w:right w:val="none"/>
            </w:tcBorders>
          </w:tcPr>
          <w:p>
            <w:r>
              <w:rPr>
                <w:b/>
                <w:color w:val="636E72"/>
                <w:sz w:val="22"/>
              </w:rPr>
              <w:t>Geboortedatum</w:t>
            </w:r>
          </w:p>
        </w:tc>
        <w:tc>
          <w:tcPr>
            <w:tcW w:type="dxa" w:w="5400"/>
            <w:tcBorders>
              <w:top w:val="none"/>
              <w:left w:val="none"/>
              <w:bottom w:val="none"/>
              <w:right w:val="none"/>
            </w:tcBorders>
          </w:tcPr>
          <w:p>
            <w:r>
              <w:rPr>
                <w:sz w:val="22"/>
              </w:rPr>
              <w:t>3 januari 1971</w:t>
            </w:r>
          </w:p>
        </w:tc>
      </w:tr>
      <w:tr>
        <w:tc>
          <w:tcPr>
            <w:tcW w:type="dxa" w:w="5400"/>
            <w:tcBorders>
              <w:top w:val="none"/>
              <w:left w:val="none"/>
              <w:bottom w:val="none"/>
              <w:right w:val="none"/>
            </w:tcBorders>
          </w:tcPr>
          <w:p>
            <w:r>
              <w:rPr>
                <w:b/>
                <w:color w:val="636E72"/>
                <w:sz w:val="22"/>
              </w:rPr>
              <w:t>Beschikbaar per</w:t>
            </w:r>
          </w:p>
        </w:tc>
        <w:tc>
          <w:tcPr>
            <w:tcW w:type="dxa" w:w="5400"/>
            <w:tcBorders>
              <w:top w:val="none"/>
              <w:left w:val="none"/>
              <w:bottom w:val="none"/>
              <w:right w:val="none"/>
            </w:tcBorders>
          </w:tcPr>
          <w:p>
            <w:r>
              <w:rPr>
                <w:sz w:val="22"/>
              </w:rPr>
              <w:t>1 januari 2026</w:t>
            </w:r>
          </w:p>
        </w:tc>
      </w:tr>
      <w:tr>
        <w:tc>
          <w:tcPr>
            <w:tcW w:type="dxa" w:w="5400"/>
            <w:tcBorders>
              <w:top w:val="none"/>
              <w:left w:val="none"/>
              <w:bottom w:val="none"/>
              <w:right w:val="none"/>
            </w:tcBorders>
          </w:tcPr>
          <w:p>
            <w:r>
              <w:rPr>
                <w:b/>
                <w:color w:val="636E72"/>
                <w:sz w:val="22"/>
              </w:rPr>
              <w:t>Functie</w:t>
            </w:r>
          </w:p>
        </w:tc>
        <w:tc>
          <w:tcPr>
            <w:tcW w:type="dxa" w:w="5400"/>
            <w:tcBorders>
              <w:top w:val="none"/>
              <w:left w:val="none"/>
              <w:bottom w:val="none"/>
              <w:right w:val="none"/>
            </w:tcBorders>
          </w:tcPr>
          <w:p>
            <w:r>
              <w:rPr>
                <w:sz w:val="22"/>
              </w:rPr>
              <w:t>IT-Architect</w:t>
            </w:r>
          </w:p>
        </w:tc>
      </w:tr>
    </w:tbl>
    <w:p>
      <w:pPr>
        <w:pBdr>
          <w:bottom w:val="single" w:sz="6" w:space="1" w:color="B2BEC3"/>
        </w:pBdr>
      </w:pPr>
    </w:p>
    <w:p>
      <w:pPr>
        <w:spacing w:after="120"/>
      </w:pPr>
      <w:r>
        <w:t>1. Strategie naar werkende software met Agile (Java)-teams.</w:t>
      </w:r>
      <w:r>
        <w:br/>
      </w:r>
      <w:r>
        <w:t>Veel organisaties hebben een duidelijke visie of roadmap. Ik zorg ervoor dat die strategie ook écht landt in de ontwikkelteams.</w:t>
      </w:r>
      <w:r>
        <w:br/>
      </w:r>
      <w:r>
        <w:t>Ik help product owners en management om scherpe, haalbare keuzes te maken. Samen met Agile (Java)-teams richt ik software-architectuur, ontwikkelstraat en technische standaarden zo in dat teams zelfstandig, voorspelbaar en met kwaliteit kunnen leveren.</w:t>
      </w:r>
    </w:p>
    <w:p>
      <w:pPr>
        <w:spacing w:after="120"/>
      </w:pPr>
      <w:r>
        <w:t>Het resultaat: minder discussie, meer focus, gemotiveerde teams én merkbaar meer waarde in productie.</w:t>
      </w:r>
    </w:p>
    <w:p>
      <w:pPr>
        <w:spacing w:after="120"/>
      </w:pPr>
      <w:r>
        <w:t>2. Een duidelijke visie op hosting- en platformomgeving.</w:t>
      </w:r>
      <w:r>
        <w:br/>
      </w:r>
      <w:r>
        <w:t>Software levert pas waarde als de onderliggende omgeving klopt. Daarom help ik organisaties om hun hosting- en platformlandschap toekomstvast te maken.</w:t>
      </w:r>
    </w:p>
    <w:p>
      <w:pPr>
        <w:spacing w:after="120"/>
      </w:pPr>
      <w:r>
        <w:t>Ik ondersteun het management bij het formuleren van een heldere visie en strategie voor infrastructuur. Daarbij gaat het onder andere om: het kennisniveau van beheerders op peil houden, realistische businesscases voor on prem vs private cloud vs public cloud, een flexibele informatievoorziening met containerization en een passend integratieplatform.</w:t>
      </w:r>
      <w:r>
        <w:br/>
      </w:r>
      <w:r>
        <w:t>Daarnaast help ik bij het maken van duidelijke keuzes over beheer (zoals het borgen en accepteren van implementaties uit projecten) én bij het opstellen van richtlijnen voor observability &amp; monitoring om SLA’s daadwerkelijk te realiseren.</w:t>
      </w:r>
    </w:p>
    <w:p>
      <w:pPr>
        <w:spacing w:after="120"/>
      </w:pPr>
      <w:r>
        <w:t>Het resultaat: een platform- en hostingarchitectuur waarmee ontwikkelteams eenvoudig kunnen uitrollen, testen en schalen – en jij als opdrachtgever grip houdt op kwaliteit, kosten en continuïteit.</w:t>
      </w:r>
    </w:p>
    <w:p>
      <w:pPr>
        <w:spacing w:after="120"/>
      </w:pPr>
      <w:r>
        <w:t>Meer informatie over mijn aanpak vindt u op mijn website.</w:t>
      </w:r>
    </w:p>
    <w:p>
      <w:pPr>
        <w:pBdr>
          <w:bottom w:val="single" w:sz="6" w:space="1" w:color="B2BEC3"/>
        </w:pBdr>
      </w:pPr>
    </w:p>
    <w:p>
      <w:r>
        <w:rPr>
          <w:b/>
          <w:color w:val="636E72"/>
          <w:sz w:val="22"/>
        </w:rPr>
        <w:t>OPLEIDINGEN</w:t>
      </w:r>
    </w:p>
    <w:p>
      <w:pPr>
        <w:spacing w:after="60"/>
      </w:pPr>
      <w:r>
        <w:rPr>
          <w:color w:val="636E72"/>
          <w:sz w:val="22"/>
        </w:rPr>
        <w:t xml:space="preserve">1997  </w:t>
      </w:r>
      <w:r>
        <w:t>PION</w:t>
      </w:r>
      <w:r>
        <w:t xml:space="preserve"> — Siemens</w:t>
      </w:r>
      <w:r>
        <w:t>, Den Haag</w:t>
      </w:r>
    </w:p>
    <w:p>
      <w:pPr>
        <w:spacing w:after="60"/>
      </w:pPr>
      <w:r>
        <w:rPr>
          <w:color w:val="636E72"/>
          <w:sz w:val="22"/>
        </w:rPr>
        <w:t xml:space="preserve">1989–1995  </w:t>
      </w:r>
      <w:r>
        <w:t>WO Algemene Economie</w:t>
      </w:r>
      <w:r>
        <w:t xml:space="preserve"> — Erasmus Universiteit</w:t>
      </w:r>
      <w:r>
        <w:t>, Rotterdam</w:t>
      </w:r>
    </w:p>
    <w:p>
      <w:pPr>
        <w:spacing w:after="60"/>
      </w:pPr>
      <w:r>
        <w:rPr>
          <w:color w:val="636E72"/>
          <w:sz w:val="22"/>
        </w:rPr>
        <w:t xml:space="preserve">1983–1989  </w:t>
      </w:r>
      <w:r>
        <w:t>VWO</w:t>
      </w:r>
      <w:r>
        <w:t xml:space="preserve"> — Willem de Zwijger</w:t>
      </w:r>
      <w:r>
        <w:t>, Schoonhoven</w:t>
      </w:r>
    </w:p>
    <w:p>
      <w:pPr>
        <w:pBdr>
          <w:bottom w:val="single" w:sz="6" w:space="1" w:color="B2BEC3"/>
        </w:pBdr>
      </w:pPr>
    </w:p>
    <w:p>
      <w:r>
        <w:rPr>
          <w:b/>
          <w:color w:val="636E72"/>
          <w:sz w:val="22"/>
        </w:rPr>
        <w:t>CERTIFICERINGEN</w:t>
      </w:r>
    </w:p>
    <w:p>
      <w:pPr>
        <w:spacing w:after="60"/>
      </w:pPr>
      <w:r>
        <w:rPr>
          <w:color w:val="636E72"/>
        </w:rPr>
        <w:t xml:space="preserve">2025  </w:t>
      </w:r>
      <w:r>
        <w:t>ArchiMate® 3</w:t>
      </w:r>
      <w:r>
        <w:t xml:space="preserve"> — The Open Group</w:t>
      </w:r>
    </w:p>
    <w:p>
      <w:pPr>
        <w:spacing w:after="60"/>
      </w:pPr>
      <w:r>
        <w:rPr>
          <w:color w:val="636E72"/>
        </w:rPr>
        <w:t xml:space="preserve">2022  </w:t>
      </w:r>
      <w:r>
        <w:t>SAFe@ 5 Architect</w:t>
      </w:r>
      <w:r>
        <w:t xml:space="preserve"> — Scaled Agile Inc</w:t>
      </w:r>
    </w:p>
    <w:p>
      <w:pPr>
        <w:spacing w:after="60"/>
      </w:pPr>
      <w:r>
        <w:rPr>
          <w:color w:val="636E72"/>
        </w:rPr>
        <w:t xml:space="preserve">2019  </w:t>
      </w:r>
      <w:r>
        <w:t>SOA Professional Gen 1 (mod 1,3, 8) (Honors)</w:t>
      </w:r>
      <w:r>
        <w:t xml:space="preserve"> — Arcitura</w:t>
      </w:r>
    </w:p>
    <w:p>
      <w:pPr>
        <w:pBdr>
          <w:bottom w:val="single" w:sz="6" w:space="1" w:color="B2BEC3"/>
        </w:pBdr>
      </w:pPr>
    </w:p>
    <w:p>
      <w:r>
        <w:rPr>
          <w:b/>
          <w:color w:val="636E72"/>
          <w:sz w:val="22"/>
        </w:rPr>
        <w:t>CURSUSSEN</w:t>
      </w:r>
    </w:p>
    <w:p>
      <w:pPr>
        <w:spacing w:after="60"/>
      </w:pPr>
      <w:r>
        <w:rPr>
          <w:color w:val="636E72"/>
        </w:rPr>
        <w:t xml:space="preserve">2025  </w:t>
      </w:r>
      <w:r>
        <w:t>Git Fundamentals, Vijfhart</w:t>
      </w:r>
    </w:p>
    <w:p>
      <w:pPr>
        <w:spacing w:after="60"/>
      </w:pPr>
      <w:r>
        <w:rPr>
          <w:color w:val="636E72"/>
        </w:rPr>
        <w:t xml:space="preserve">2024  </w:t>
      </w:r>
      <w:r>
        <w:t>ArchiMate® 3 training course – Foundation and Practitioner, Vijfhart, Service API Specialist Combined Certification Exam (Honors), Arcitura, Digital Transformation Specialist (Honors), Arcitura</w:t>
      </w:r>
    </w:p>
    <w:p>
      <w:pPr>
        <w:spacing w:after="60"/>
      </w:pPr>
      <w:r>
        <w:rPr>
          <w:color w:val="636E72"/>
        </w:rPr>
        <w:t xml:space="preserve">2022  </w:t>
      </w:r>
      <w:r>
        <w:t>Certificering SAFe@ 5 Architect, Scaled Agile Inc</w:t>
      </w:r>
    </w:p>
    <w:p>
      <w:pPr>
        <w:spacing w:after="60"/>
      </w:pPr>
      <w:r>
        <w:rPr>
          <w:color w:val="636E72"/>
        </w:rPr>
        <w:t xml:space="preserve">2021  </w:t>
      </w:r>
      <w:r>
        <w:t>Beïnvloedingsvaardigheden, Schouten en Nelissen</w:t>
      </w:r>
    </w:p>
    <w:p>
      <w:pPr>
        <w:spacing w:after="60"/>
      </w:pPr>
      <w:r>
        <w:rPr>
          <w:color w:val="636E72"/>
        </w:rPr>
        <w:t xml:space="preserve">2020  </w:t>
      </w:r>
      <w:r>
        <w:t>Certificering SOA Design and Architecture Lab (Honors), Arcitura, Certificering SOA Gen 2, Service Technology Concepts, Arcitura, Cursus SOA Gen 2, upgrade microservices (mod 1, 3, 8), Arcitura</w:t>
      </w:r>
    </w:p>
    <w:p>
      <w:pPr>
        <w:spacing w:after="60"/>
      </w:pPr>
      <w:r>
        <w:rPr>
          <w:color w:val="636E72"/>
        </w:rPr>
        <w:t xml:space="preserve">2019  </w:t>
      </w:r>
      <w:r>
        <w:t>Cursus Zakelijk tekenen, Buro BRAND, Certificering SOA Professional Gen 1 (mod 1,3, 8) (Honors), Arcitura</w:t>
      </w:r>
    </w:p>
    <w:p>
      <w:pPr>
        <w:spacing w:after="60"/>
      </w:pPr>
      <w:r>
        <w:rPr>
          <w:color w:val="636E72"/>
        </w:rPr>
        <w:t xml:space="preserve">2018  </w:t>
      </w:r>
      <w:r>
        <w:t>Certificering Microservices Fundamentals, IBM Coursera, Certificering What is Data Science, IBM Coursera, Certificering Blockchain for Developers, IBM Coursera</w:t>
      </w:r>
    </w:p>
    <w:p>
      <w:pPr>
        <w:spacing w:after="60"/>
      </w:pPr>
      <w:r>
        <w:rPr>
          <w:color w:val="636E72"/>
        </w:rPr>
        <w:t xml:space="preserve">2017  </w:t>
      </w:r>
      <w:r>
        <w:t>Microservices and Event Driven Architecture, Xpirit, Technisch Leiderschap en vaardigheden, Cibit Academy</w:t>
      </w:r>
    </w:p>
    <w:p>
      <w:pPr>
        <w:spacing w:after="60"/>
      </w:pPr>
      <w:r>
        <w:rPr>
          <w:color w:val="636E72"/>
        </w:rPr>
        <w:t xml:space="preserve">2014  </w:t>
      </w:r>
      <w:r>
        <w:t>Agile Foundation, Xebia</w:t>
      </w:r>
    </w:p>
    <w:p>
      <w:pPr>
        <w:spacing w:after="60"/>
      </w:pPr>
      <w:r>
        <w:rPr>
          <w:color w:val="636E72"/>
        </w:rPr>
        <w:t xml:space="preserve">2011  </w:t>
      </w:r>
      <w:r>
        <w:t>IT-Architectuur in de praktijk, Cibit Academy</w:t>
      </w:r>
    </w:p>
    <w:p>
      <w:pPr>
        <w:pBdr>
          <w:bottom w:val="single" w:sz="6" w:space="1" w:color="B2BEC3"/>
        </w:pBdr>
      </w:pPr>
    </w:p>
    <w:p>
      <w:r>
        <w:rPr>
          <w:b/>
          <w:color w:val="636E72"/>
          <w:sz w:val="22"/>
        </w:rPr>
        <w:t>WERKERVARING</w:t>
      </w:r>
    </w:p>
    <w:p>
      <w:pPr>
        <w:spacing w:after="120"/>
      </w:pPr>
      <w:r>
        <w:rPr>
          <w:color w:val="636E72"/>
        </w:rPr>
        <w:t xml:space="preserve">2025 – heden  </w:t>
      </w:r>
      <w:r>
        <w:t>Gemeente Almelo</w:t>
      </w:r>
      <w:r>
        <w:t xml:space="preserve"> — ICT-Architect</w:t>
      </w:r>
    </w:p>
    <w:p>
      <w:pPr>
        <w:spacing w:after="60"/>
      </w:pPr>
      <w:r>
        <w:rPr>
          <w:b/>
          <w:color w:val="636E72"/>
          <w:sz w:val="20"/>
        </w:rPr>
        <w:t>Werkzaamheden</w:t>
      </w:r>
    </w:p>
    <w:p>
      <w:pPr>
        <w:spacing w:after="120"/>
      </w:pPr>
      <w:r>
        <w:t>• Architectuurfunctie volwassen gemaakt: proces voor schrijven PSA verbeterd. Solution Architectuur onderdeel gemaakt van het wijzigingsproces (als onderdeel van een team).</w:t>
      </w:r>
      <w:r>
        <w:br/>
      </w:r>
      <w:r>
        <w:t>• Referentie- en domeinarchitecturen opgesteld en; ArchiMate-modellen in BlueDolphin.</w:t>
      </w:r>
      <w:r>
        <w:br/>
      </w:r>
      <w:r>
        <w:t>• Missie, visie en strategie voor Automatiseringsmanagement uitgewerkt (infra &amp; technisch applicatiebeheer) en vertaald naar roadmaps en standaarden.</w:t>
      </w:r>
      <w:r>
        <w:br/>
      </w:r>
      <w:r>
        <w:t>• Solution architectuur voor implementatie nieuwe portal voor inwoners.</w:t>
      </w:r>
      <w:r>
        <w:br/>
      </w:r>
      <w:r>
        <w:t>• Verbeterde samenhang tussen infrastructuur, applicaties en dienstverlening; focus op betrouwbaarheid, beveiliging en beheersbaarheid.</w:t>
      </w:r>
    </w:p>
    <w:p>
      <w:pPr>
        <w:pBdr>
          <w:bottom w:val="single" w:sz="6" w:space="1" w:color="B2BEC3"/>
        </w:pBdr>
      </w:pPr>
    </w:p>
    <w:p>
      <w:pPr>
        <w:spacing w:after="120"/>
      </w:pPr>
      <w:r>
        <w:rPr>
          <w:color w:val="636E72"/>
        </w:rPr>
        <w:t xml:space="preserve">2021 – 2024  </w:t>
      </w:r>
      <w:r>
        <w:t>Belastingdienst (Inkomensheffing)</w:t>
      </w:r>
      <w:r>
        <w:t xml:space="preserve"> — Solution architect</w:t>
      </w:r>
    </w:p>
    <w:p>
      <w:pPr>
        <w:spacing w:after="60"/>
      </w:pPr>
      <w:r>
        <w:rPr>
          <w:b/>
          <w:color w:val="636E72"/>
          <w:sz w:val="20"/>
        </w:rPr>
        <w:t>Werkzaamheden</w:t>
      </w:r>
    </w:p>
    <w:p>
      <w:pPr>
        <w:spacing w:after="120"/>
      </w:pPr>
      <w:r>
        <w:t>• Medeverantwoordelijk voor het definiëren van standaarden, ondersteunen van drie agile-teams bij het realiseren van features en bewaken van de kaders.</w:t>
      </w:r>
      <w:r>
        <w:br/>
      </w:r>
      <w:r>
        <w:t>• Samen met de software architecten definieer ik de visie op de technologie. Samen met lead architect en het MT zorg ik ervoor dat in de porfolio-laag ruimte komt om enablers te realiseren waarmee de visie wordt vormgegeven. Het traject bestaat uit een complexe migratie van een monoliet naar een gedistribueerd systeem. Daarnaast is een migratie uitgevoerd van een traditioneel hosting platform naar Redhat OpenShift. In de rol was ik verantwoordelijk voor het definiëren van een architectuur waar foutafhandeling en monitoring (Grafana, Open Telemetry) is ingericht.</w:t>
      </w:r>
      <w:r>
        <w:br/>
      </w:r>
      <w:r>
        <w:t>• Voorzitter van een stuurgroep met als verantwoordelijkheid om de transitie vorm te geven naar een werkwijze voor het maken van ontwerpproducten die past binnen het SAFe framework.</w:t>
      </w:r>
    </w:p>
    <w:p>
      <w:pPr>
        <w:pBdr>
          <w:bottom w:val="single" w:sz="6" w:space="1" w:color="B2BEC3"/>
        </w:pBdr>
      </w:pPr>
    </w:p>
    <w:p>
      <w:pPr>
        <w:spacing w:after="120"/>
      </w:pPr>
      <w:r>
        <w:rPr>
          <w:color w:val="636E72"/>
        </w:rPr>
        <w:t xml:space="preserve">2020 – 2021  </w:t>
      </w:r>
      <w:r>
        <w:t>Belastingdienst (Omzetbelasting)</w:t>
      </w:r>
      <w:r>
        <w:t xml:space="preserve"> — Lead Architect programma</w:t>
      </w:r>
    </w:p>
    <w:p>
      <w:pPr>
        <w:spacing w:after="60"/>
      </w:pPr>
      <w:r>
        <w:rPr>
          <w:b/>
          <w:color w:val="636E72"/>
          <w:sz w:val="20"/>
        </w:rPr>
        <w:t>Werkzaamheden</w:t>
      </w:r>
    </w:p>
    <w:p>
      <w:pPr>
        <w:spacing w:after="120"/>
      </w:pPr>
      <w:r>
        <w:t>• Werkzaam als Lead architect in een programma met als doel de implementatie van Europese wetgeving in het te moderniseren IT-landschap in het domein van de Omzetbelasting. In die rol heb ik een belangrijke bijdrage kunnen leveren in de herijking van de domeinarchitectuur op het gebied van technologie.</w:t>
      </w:r>
      <w:r>
        <w:br/>
      </w:r>
      <w:r>
        <w:t>• In de rol van architect heb ik de programma Solution Architectuur afgerond en afgestemd met de stakeholders waaronder Directie Belastingdienst en de Directeur-Generaal. Verantwoordelijk voor het definiëren van architectuur enablers in een SAFE-omgeving en het voorbereiden van de PI-events samen met de product manager.</w:t>
      </w:r>
      <w:r>
        <w:br/>
      </w:r>
      <w:r>
        <w:t>• Aanspreekpunt van de Agile-teams voor het realiseren van de story’s. In de rol als programma architect heb ik verschillende presentaties gegeven, een film gemaakt en een workshop georganiseerd.</w:t>
      </w:r>
    </w:p>
    <w:p>
      <w:pPr>
        <w:pBdr>
          <w:bottom w:val="single" w:sz="6" w:space="1" w:color="B2BEC3"/>
        </w:pBdr>
      </w:pPr>
    </w:p>
    <w:p>
      <w:pPr>
        <w:spacing w:after="120"/>
      </w:pPr>
      <w:r>
        <w:rPr>
          <w:color w:val="636E72"/>
        </w:rPr>
        <w:t xml:space="preserve">2018 – 2020  </w:t>
      </w:r>
      <w:r>
        <w:t>Belastingdienst (Inkomensheffing)</w:t>
      </w:r>
      <w:r>
        <w:t xml:space="preserve"> — Solution architect</w:t>
      </w:r>
    </w:p>
    <w:p>
      <w:pPr>
        <w:spacing w:after="60"/>
      </w:pPr>
      <w:r>
        <w:rPr>
          <w:b/>
          <w:color w:val="636E72"/>
          <w:sz w:val="20"/>
        </w:rPr>
        <w:t>Werkzaamheden</w:t>
      </w:r>
    </w:p>
    <w:p>
      <w:pPr>
        <w:spacing w:after="120"/>
      </w:pPr>
      <w:r>
        <w:t>In het hoofdontwerpteam Inkomensheffing was ik medeverantwoordelijk voor het beschrijven van de solution op basis van de domeinarchitectuur; ik heb het team versterkt door een SOA-certificeringstraject te initiëren en de principes direct in de praktijk te brengen. Als projectarchitect voor Inkomensheffing was ik aanspreekpunt voor regelanalyse vraagstukken. Mijn kerntaken bestonden uit het opstellen van van impactanalyses en het  vastleggen van een referentie architectuur voor het realiseren van een service georiënteerd landschap.</w:t>
      </w:r>
    </w:p>
    <w:p>
      <w:pPr>
        <w:pBdr>
          <w:bottom w:val="single" w:sz="6" w:space="1" w:color="B2BEC3"/>
        </w:pBdr>
      </w:pPr>
    </w:p>
    <w:p>
      <w:pPr>
        <w:spacing w:after="120"/>
      </w:pPr>
      <w:r>
        <w:rPr>
          <w:color w:val="636E72"/>
        </w:rPr>
        <w:t xml:space="preserve">2010 – 2018  </w:t>
      </w:r>
      <w:r>
        <w:t>Stater</w:t>
      </w:r>
      <w:r>
        <w:t xml:space="preserve"> — IT-architect</w:t>
      </w:r>
    </w:p>
    <w:p>
      <w:pPr>
        <w:spacing w:after="60"/>
      </w:pPr>
      <w:r>
        <w:rPr>
          <w:b/>
          <w:color w:val="636E72"/>
          <w:sz w:val="20"/>
        </w:rPr>
        <w:t>Werkzaamheden</w:t>
      </w:r>
    </w:p>
    <w:p>
      <w:pPr>
        <w:spacing w:after="120"/>
      </w:pPr>
      <w:r>
        <w:t>Sinds 2011 heb ik bij Stater de IT-architectuurfunctie opgezet en geborgd (DYA ingevoerd, PSA-template/proces ingericht, en tussen 2013–2017 de governance geleid als secretaris van de Architectuur Board, domeinarchitecten aangestuurd en ~80 collega’s getraind in PSA-schrijven (samen met business-architecten volgens TOGAF).</w:t>
      </w:r>
      <w:r>
        <w:br/>
      </w:r>
      <w:r>
        <w:t>Als programma-/projectarchitect (o.a. ABN AMRO Hypotheken) definieerde en implementeerde ik de integratie-architectuur voor de digitalisering van het hypotheekproces (portal &amp; mobile) en borgde ik GDPR-richtlijnen, 24/7-architectuur en DAMA-datavolwassenheid.</w:t>
      </w:r>
      <w:r>
        <w:br/>
      </w:r>
      <w:r>
        <w:t>In 2017 heb ik met een kernteam de referentiearchitectuur voor digitale transformatie opgesteld (Iconic Customer Journey, STP/papierloos,) en de organisatie begeleid van twee monolieten naar microservices, terwijl ik met R&amp;D en klanten blockchain-toepassingen onderzocht en via events een coalitie rondom deze innovaties bouwde.</w:t>
      </w:r>
    </w:p>
    <w:p>
      <w:pPr>
        <w:pBdr>
          <w:bottom w:val="single" w:sz="6" w:space="1" w:color="B2BEC3"/>
        </w:pBdr>
      </w:pPr>
    </w:p>
    <w:p>
      <w:pPr>
        <w:spacing w:after="120"/>
      </w:pPr>
      <w:r>
        <w:rPr>
          <w:color w:val="636E72"/>
        </w:rPr>
        <w:t xml:space="preserve">2008 – 2010  </w:t>
      </w:r>
      <w:r>
        <w:t>Stater</w:t>
      </w:r>
      <w:r>
        <w:t xml:space="preserve"> — Informatieanalist</w:t>
      </w:r>
    </w:p>
    <w:p>
      <w:pPr>
        <w:spacing w:after="60"/>
      </w:pPr>
      <w:r>
        <w:rPr>
          <w:b/>
          <w:color w:val="636E72"/>
          <w:sz w:val="20"/>
        </w:rPr>
        <w:t>Werkzaamheden</w:t>
      </w:r>
    </w:p>
    <w:p>
      <w:pPr>
        <w:spacing w:after="120"/>
      </w:pPr>
      <w:r>
        <w:t>• Informatieanalyse en functioneel ontwerp voor het in converteren van de hypotheekportefeuille van ABN Amro Bank in de omgeving van Stater.</w:t>
      </w:r>
      <w:r>
        <w:br/>
      </w:r>
      <w:r>
        <w:t>• Informatieanalyse in een project met als doel het inrichten van een nieuwe Data Warehouse-omgeving.</w:t>
      </w:r>
      <w:r>
        <w:br/>
      </w:r>
      <w:r>
        <w:t>Zelfstandig analyse en regie uitgevoerd over complexe conversie-issues in onbekend domein.  Succesvolle, grote conversie van hypotheekportefeuille.</w:t>
      </w:r>
    </w:p>
    <w:p>
      <w:pPr>
        <w:pBdr>
          <w:bottom w:val="single" w:sz="6" w:space="1" w:color="B2BEC3"/>
        </w:pBdr>
      </w:pPr>
    </w:p>
    <w:p>
      <w:pPr>
        <w:spacing w:after="120"/>
      </w:pPr>
      <w:r>
        <w:rPr>
          <w:color w:val="636E72"/>
        </w:rPr>
        <w:t xml:space="preserve">2005 – 2008  </w:t>
      </w:r>
      <w:r>
        <w:t>Atos Origin (Westland Energie)</w:t>
      </w:r>
      <w:r>
        <w:t xml:space="preserve"> — Informatieanalist</w:t>
      </w:r>
    </w:p>
    <w:p>
      <w:pPr>
        <w:spacing w:after="60"/>
      </w:pPr>
      <w:r>
        <w:rPr>
          <w:b/>
          <w:color w:val="636E72"/>
          <w:sz w:val="20"/>
        </w:rPr>
        <w:t>Werkzaamheden</w:t>
      </w:r>
    </w:p>
    <w:p>
      <w:pPr>
        <w:spacing w:after="120"/>
      </w:pPr>
      <w:r>
        <w:t>Vanaf 2005 verantwoordelijk voor de informatieanalyse, onderhoud logisch datamodel, functioneel ontwerp en test in een omgeving waarbij ontwikkeling in India werd uitgevoerd.</w:t>
      </w:r>
    </w:p>
    <w:p>
      <w:pPr>
        <w:pBdr>
          <w:bottom w:val="single" w:sz="6" w:space="1" w:color="B2BEC3"/>
        </w:pBdr>
      </w:pPr>
    </w:p>
    <w:p>
      <w:pPr>
        <w:spacing w:after="120"/>
      </w:pPr>
      <w:r>
        <w:rPr>
          <w:color w:val="636E72"/>
        </w:rPr>
        <w:t xml:space="preserve">1997-2005  </w:t>
      </w:r>
      <w:r>
        <w:t>Atos Origin</w:t>
      </w:r>
      <w:r>
        <w:t xml:space="preserve"> — Application Developer</w:t>
      </w:r>
    </w:p>
    <w:p>
      <w:pPr>
        <w:spacing w:after="60"/>
      </w:pPr>
      <w:r>
        <w:rPr>
          <w:b/>
          <w:color w:val="636E72"/>
          <w:sz w:val="20"/>
        </w:rPr>
        <w:t>Werkzaamheden</w:t>
      </w:r>
    </w:p>
    <w:p>
      <w:pPr>
        <w:spacing w:after="120"/>
      </w:pPr>
      <w:r>
        <w:t>Sinds 1997 werkte ik als COBOL-programmeur (Rabobank Effectendiensten). In 1999 ben ik omgeschoold tot Oracle-developer. Ik ben gestart met een opdracht met end-to-end verantwoordelijkheid voor applicatie-onderhoud bij de Rijksarchiefdiensten (ontwerp, realisatie, test, releases, DBA, implementaties in NL/BE).</w:t>
      </w:r>
      <w:r>
        <w:br/>
      </w:r>
      <w:r>
        <w:t>Vanaf 2001 was ik ontwikkelaar in het onderhoudsteam van een energieleverancier en initieerde ik continue verbetering, waaronder het automatiseren van OTAP-releases voor de billing-applicatie.</w:t>
      </w:r>
    </w:p>
    <w:p>
      <w:pPr>
        <w:pBdr>
          <w:bottom w:val="single" w:sz="6" w:space="1" w:color="B2BEC3"/>
        </w:pBdr>
      </w:pP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