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36E72"/>
          <w:sz w:val="22"/>
        </w:rPr>
        <w:t>PERSOONLIJKE GEGEVENS</w:t>
      </w:r>
    </w:p>
    <w:tbl>
      <w:tblPr>
        <w:tblStyle w:val="TableGrid"/>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september 2026</w:t>
            </w:r>
          </w:p>
        </w:tc>
      </w:tr>
    </w:tbl>
    <w:p>
      <w:pPr>
        <w:pBdr>
          <w:bottom w:val="single" w:sz="6" w:space="1" w:color="B2BEC3"/>
        </w:pBdr>
      </w:pPr>
    </w:p>
    <w:p>
      <w:r>
        <w:rPr>
          <w:b/>
          <w:color w:val="636E72"/>
          <w:sz w:val="22"/>
        </w:rPr>
        <w:t>KERNEXPERTISE</w:t>
      </w:r>
    </w:p>
    <w:p>
      <w:pPr>
        <w:spacing w:after="120"/>
      </w:pPr>
      <w:r>
        <w:t>Common Ground, GEMMA, PSA, Federatieve Service Connectiviteit (FSC), NL API Strategie, Zaakgericht werken, BiZZdesign, leveranciersmanagement, Digitalisering overheid, BlueDolphin, API-Gateway, Service Oriented Architecture, SAFE, migratie monolithisch systeem naar microservices, micro frontend, IAM, Regelanalyse, impactanalyse, DYA, Digitalisering, migratie van monoliet naar microservices, Hypotheken, migratie hypotheekportefeuille, Data-warehouse, Outsourcing India, splitsing energiemarkt, conversie, Oracle, ITIL, biling-applicatie, bankwezen, energiesector, ArchiMate® 3, SAFe@ 5 Architect, SOA Professional Gen 1 (mod 1,3, 8) (Honors)</w:t>
      </w:r>
    </w:p>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636E72"/>
          <w:sz w:val="22"/>
        </w:rPr>
        <w:t>ACHTERGROND</w:t>
      </w:r>
    </w:p>
    <w:p>
      <w:pPr>
        <w:spacing w:after="60"/>
      </w:pPr>
      <w:r>
        <w:rPr>
          <w:b/>
          <w:color w:val="636E72"/>
          <w:sz w:val="20"/>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spacing w:after="60"/>
      </w:pPr>
      <w:r>
        <w:rPr>
          <w:b/>
          <w:color w:val="636E72"/>
          <w:sz w:val="20"/>
        </w:rPr>
        <w:t>Belangrijkste 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636E72"/>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636E72"/>
          <w:sz w:val="22"/>
        </w:rPr>
        <w:t>OVERIGE CURSUSSEN</w:t>
      </w:r>
    </w:p>
    <w:p>
      <w:pPr>
        <w:spacing w:after="60"/>
      </w:pPr>
      <w:r>
        <w:t>Mastering the Requirements Process (Volere), Woningfinanciering I, Prince 2 Foundation, Dimensionaal Modelleren voor Datawarehouses, Business English, Methode en technieken voor informatieanalyse, Informatiesysteem-architectuur, Functioneel ontwerp van administratieve systemen, Testen in de praktijk, Certificering Oracle SQL, PL/SQL Opleiding tot Oracle Developer, Entity Relationship Modelling, Database ontwerp</w:t>
      </w:r>
    </w:p>
    <w:p>
      <w:pPr>
        <w:pBdr>
          <w:bottom w:val="single" w:sz="6" w:space="1" w:color="B2BEC3"/>
        </w:pBdr>
      </w:pPr>
    </w:p>
    <w:p>
      <w:r>
        <w:rPr>
          <w:b/>
          <w:color w:val="636E72"/>
          <w:sz w:val="22"/>
        </w:rPr>
        <w:t>WERKERVARING</w:t>
      </w:r>
    </w:p>
    <w:p>
      <w:pPr>
        <w:spacing w:after="120"/>
      </w:pPr>
      <w:r>
        <w:rPr>
          <w:color w:val="636E72"/>
        </w:rPr>
        <w:t xml:space="preserve">2026 – heden  </w:t>
      </w:r>
      <w:r>
        <w:t>Gemeente Utrecht</w:t>
      </w:r>
      <w:r>
        <w:t xml:space="preserve"> — Solution Architect Common Ground</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Leveranciers constructief begeleid in het aligneren van hun productontwikkeling op Common Ground-principes en open standaarden.</w:t>
      </w:r>
      <w:r>
        <w:br/>
      </w:r>
      <w:r>
        <w:t>• Bestaande Thema-architectuur vertaald naar Archimate views.</w:t>
      </w:r>
      <w:r>
        <w:br/>
      </w:r>
      <w:r>
        <w:t>• Verbeteren overlegstructuren architecten.</w:t>
      </w:r>
    </w:p>
    <w:p>
      <w:pPr>
        <w:spacing w:after="60"/>
      </w:pPr>
      <w:r>
        <w:rPr>
          <w:b/>
          <w:color w:val="636E72"/>
          <w:sz w:val="20"/>
        </w:rPr>
        <w:t>Trefwoorden</w:t>
      </w:r>
    </w:p>
    <w:p>
      <w:pPr>
        <w:spacing w:after="120"/>
      </w:pPr>
      <w:r>
        <w:t>Common Ground, GEMMA, PSA, Federatieve Service Connectiviteit (FSC), NL API Strategie, Zaakgericht werken, BiZZdesign, leveranciersmanagement, Digitalisering overheid</w:t>
      </w:r>
    </w:p>
    <w:p>
      <w:pPr>
        <w:pBdr>
          <w:bottom w:val="single" w:sz="6" w:space="1" w:color="B2BEC3"/>
        </w:pBdr>
      </w:pPr>
    </w:p>
    <w:p>
      <w:pPr>
        <w:spacing w:after="120"/>
      </w:pPr>
      <w:r>
        <w:rPr>
          <w:color w:val="636E72"/>
        </w:rPr>
        <w:t xml:space="preserve">2025 – 2025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porfolio-laag ruimte komt om enablers te realiseren waarmee de visie wordt vormgegeven. Het traject bestaat uit een complexe migratie van een monoliet naar een gedistribueerd systeem. Daarnaast is een migratie uitgevoerd van een traditioneel hosting platform naar Redhat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van impactanalyses en het  vastleggen van een referentie architectuur voor het realiseren van een service georiënteerd landschap.</w:t>
      </w:r>
    </w:p>
    <w:p>
      <w:pPr>
        <w:spacing w:after="60"/>
      </w:pPr>
      <w:r>
        <w:rPr>
          <w:b/>
          <w:color w:val="636E72"/>
          <w:sz w:val="20"/>
        </w:rPr>
        <w:t>Belangrijkste prestaties</w:t>
      </w:r>
    </w:p>
    <w:p>
      <w:pPr>
        <w:spacing w:after="120"/>
      </w:pPr>
      <w:r>
        <w:t>Met mijn uitgebreide kennis van ontwikkeling van een service georiënteerd landschap heb ik de architecten van de IH enthousiast kunnen maken om dit complexe vraagstuk aan te pakken.</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Zelfstandig analyse en regie uitgevoerd over complexe conversie-issues in onbekend domein. Succesvolle, grote conversie van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verantwoordelijk voor de informatieanalyse, onderhoud logisch datamodel, functioneel ontwerp en test in een omgeving waarbij ontwikkeling in India werd uitgevoerd.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1997-2005  </w:t>
      </w:r>
      <w:r>
        <w:t>Atos Origin</w:t>
      </w:r>
      <w:r>
        <w:t xml:space="preserve"> — Application Developer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