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januari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 — Siemens</w:t>
      </w:r>
      <w:r>
        <w:t>, Den Haag</w:t>
      </w:r>
    </w:p>
    <w:p>
      <w:pPr>
        <w:spacing w:after="60"/>
      </w:pPr>
      <w:r>
        <w:rPr>
          <w:color w:val="636E72"/>
          <w:sz w:val="22"/>
        </w:rPr>
        <w:t xml:space="preserve">1989–1995  </w:t>
      </w:r>
      <w:r>
        <w:t>WO Algemene Economie — Erasmus Universiteit</w:t>
      </w:r>
      <w:r>
        <w:t>, Rotterdam</w:t>
      </w:r>
    </w:p>
    <w:p>
      <w:pPr>
        <w:spacing w:after="60"/>
      </w:pPr>
      <w:r>
        <w:rPr>
          <w:color w:val="636E72"/>
          <w:sz w:val="22"/>
        </w:rPr>
        <w:t xml:space="preserve">1983–1989  </w:t>
      </w:r>
      <w:r>
        <w:t>VWO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 — The Open Group</w:t>
      </w:r>
    </w:p>
    <w:p>
      <w:pPr>
        <w:spacing w:after="60"/>
      </w:pPr>
      <w:r>
        <w:rPr>
          <w:color w:val="636E72"/>
        </w:rPr>
        <w:t xml:space="preserve">2022  </w:t>
      </w:r>
      <w:r>
        <w:t>SAFe@ 5 Architect — Scaled Agile Inc</w:t>
      </w:r>
    </w:p>
    <w:p>
      <w:pPr>
        <w:spacing w:after="60"/>
      </w:pPr>
      <w:r>
        <w:rPr>
          <w:color w:val="636E72"/>
        </w:rPr>
        <w:t xml:space="preserve">2019  </w:t>
      </w:r>
      <w:r>
        <w:t>SOA Professional Gen 1 (mod 1,3, 8) (Honors)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ICT-Architect</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PSA's opgeleverd die als leidraad dienen voor leveranciersgesprekken en interne besluitvorming rondom Common Ground-implementatie.</w:t>
      </w:r>
      <w:r>
        <w:br/>
      </w:r>
      <w:r>
        <w:t>• Leveranciers constructief begeleid in het aligneren van hun productontwikkeling op Common Ground-principes en open standaarden.</w:t>
      </w:r>
    </w:p>
    <w:p>
      <w:pPr>
        <w:spacing w:after="60"/>
      </w:pPr>
      <w:r>
        <w:rPr>
          <w:b/>
          <w:color w:val="636E72"/>
          <w:sz w:val="20"/>
        </w:rPr>
        <w:t>Trefwoorden</w:t>
      </w:r>
    </w:p>
    <w:p>
      <w:pPr>
        <w:spacing w:after="120"/>
      </w:pPr>
      <w:r>
        <w:t>Common Ground, GEMMA, PSA, API-first, NL API Strategie, Zaakgericht werken, Haven, Kubernetes, leveranciersmanagement, Digitalisering overheid</w:t>
      </w:r>
    </w:p>
    <w:p>
      <w:pPr>
        <w:pBdr>
          <w:bottom w:val="single" w:sz="6" w:space="1" w:color="B2BEC3"/>
        </w:pBdr>
      </w:pPr>
    </w:p>
    <w:p>
      <w:pPr>
        <w:spacing w:after="120"/>
      </w:pPr>
      <w:r>
        <w:rPr>
          <w:color w:val="636E72"/>
        </w:rPr>
        <w:t xml:space="preserve">2025 – heden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r>
        <w:br/>
      </w:r>
      <w:r>
        <w:t>gi</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