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9973" w14:textId="77777777" w:rsidR="00362375" w:rsidRDefault="00000000">
      <w:pPr>
        <w:spacing w:before="800" w:after="360"/>
        <w:jc w:val="center"/>
        <w:rPr>
          <w:lang w:eastAsia="zh-CN"/>
        </w:rPr>
      </w:pPr>
      <w:r>
        <w:rPr>
          <w:b/>
          <w:color w:val="1E1915"/>
          <w:sz w:val="46"/>
          <w:lang w:eastAsia="zh-CN"/>
        </w:rPr>
        <w:t>《信息可视化》课程设计说明书</w:t>
      </w:r>
    </w:p>
    <w:p w14:paraId="687589DF" w14:textId="77777777" w:rsidR="00362375" w:rsidRDefault="00000000">
      <w:pPr>
        <w:jc w:val="center"/>
        <w:rPr>
          <w:lang w:eastAsia="zh-CN"/>
        </w:rPr>
      </w:pPr>
      <w:r>
        <w:rPr>
          <w:rFonts w:ascii="宋体" w:eastAsia="宋体" w:hAnsi="宋体"/>
          <w:b/>
          <w:color w:val="B6342B"/>
          <w:sz w:val="64"/>
          <w:lang w:eastAsia="zh-CN"/>
        </w:rPr>
        <w:t>版上山河</w:t>
      </w:r>
    </w:p>
    <w:p w14:paraId="00371997" w14:textId="77777777" w:rsidR="00362375" w:rsidRDefault="00000000">
      <w:pPr>
        <w:spacing w:after="600"/>
        <w:jc w:val="center"/>
        <w:rPr>
          <w:lang w:eastAsia="zh-CN"/>
        </w:rPr>
      </w:pPr>
      <w:r>
        <w:rPr>
          <w:rFonts w:ascii="宋体" w:eastAsia="宋体" w:hAnsi="宋体"/>
          <w:color w:val="704536"/>
          <w:sz w:val="34"/>
          <w:lang w:eastAsia="zh-CN"/>
        </w:rPr>
        <w:t>中国传统木版年画多维信息可视化设计</w:t>
      </w:r>
    </w:p>
    <w:tbl>
      <w:tblPr>
        <w:tblStyle w:val="aff1"/>
        <w:tblW w:w="0" w:type="auto"/>
        <w:jc w:val="center"/>
        <w:tblLayout w:type="fixed"/>
        <w:tblLook w:val="04A0" w:firstRow="1" w:lastRow="0" w:firstColumn="1" w:lastColumn="0" w:noHBand="0" w:noVBand="1"/>
      </w:tblPr>
      <w:tblGrid>
        <w:gridCol w:w="2232"/>
        <w:gridCol w:w="6552"/>
      </w:tblGrid>
      <w:tr w:rsidR="00362375" w14:paraId="623A95D3" w14:textId="77777777">
        <w:trPr>
          <w:jc w:val="center"/>
        </w:trPr>
        <w:tc>
          <w:tcPr>
            <w:tcW w:w="2232" w:type="dxa"/>
            <w:shd w:val="clear" w:color="auto" w:fill="F3EBDD"/>
            <w:tcMar>
              <w:top w:w="100" w:type="dxa"/>
              <w:left w:w="130" w:type="dxa"/>
              <w:bottom w:w="100" w:type="dxa"/>
              <w:right w:w="130" w:type="dxa"/>
            </w:tcMar>
            <w:vAlign w:val="center"/>
          </w:tcPr>
          <w:p w14:paraId="5CDD66B5" w14:textId="77777777" w:rsidR="00362375" w:rsidRDefault="00000000">
            <w:r>
              <w:rPr>
                <w:b/>
                <w:color w:val="704536"/>
                <w:sz w:val="21"/>
              </w:rPr>
              <w:t>课程名称</w:t>
            </w:r>
          </w:p>
        </w:tc>
        <w:tc>
          <w:tcPr>
            <w:tcW w:w="6552" w:type="dxa"/>
            <w:tcMar>
              <w:top w:w="100" w:type="dxa"/>
              <w:left w:w="130" w:type="dxa"/>
              <w:bottom w:w="100" w:type="dxa"/>
              <w:right w:w="130" w:type="dxa"/>
            </w:tcMar>
            <w:vAlign w:val="center"/>
          </w:tcPr>
          <w:p w14:paraId="34BA1814" w14:textId="77777777" w:rsidR="00362375" w:rsidRDefault="00000000">
            <w:r>
              <w:rPr>
                <w:color w:val="1E1915"/>
                <w:sz w:val="21"/>
              </w:rPr>
              <w:t>信息可视化</w:t>
            </w:r>
          </w:p>
        </w:tc>
      </w:tr>
      <w:tr w:rsidR="00362375" w14:paraId="2FB7E5E7" w14:textId="77777777">
        <w:trPr>
          <w:jc w:val="center"/>
        </w:trPr>
        <w:tc>
          <w:tcPr>
            <w:tcW w:w="2232" w:type="dxa"/>
            <w:shd w:val="clear" w:color="auto" w:fill="F3EBDD"/>
            <w:tcMar>
              <w:top w:w="100" w:type="dxa"/>
              <w:left w:w="130" w:type="dxa"/>
              <w:bottom w:w="100" w:type="dxa"/>
              <w:right w:w="130" w:type="dxa"/>
            </w:tcMar>
            <w:vAlign w:val="center"/>
          </w:tcPr>
          <w:p w14:paraId="7C92A254" w14:textId="77777777" w:rsidR="00362375" w:rsidRDefault="00000000">
            <w:r>
              <w:rPr>
                <w:b/>
                <w:color w:val="704536"/>
                <w:sz w:val="21"/>
              </w:rPr>
              <w:t>课设主题</w:t>
            </w:r>
          </w:p>
        </w:tc>
        <w:tc>
          <w:tcPr>
            <w:tcW w:w="6552" w:type="dxa"/>
            <w:tcMar>
              <w:top w:w="100" w:type="dxa"/>
              <w:left w:w="130" w:type="dxa"/>
              <w:bottom w:w="100" w:type="dxa"/>
              <w:right w:w="130" w:type="dxa"/>
            </w:tcMar>
            <w:vAlign w:val="center"/>
          </w:tcPr>
          <w:p w14:paraId="206A7930" w14:textId="77777777" w:rsidR="00362375" w:rsidRDefault="00000000">
            <w:pPr>
              <w:rPr>
                <w:lang w:eastAsia="zh-CN"/>
              </w:rPr>
            </w:pPr>
            <w:r>
              <w:rPr>
                <w:color w:val="1E1915"/>
                <w:sz w:val="21"/>
                <w:lang w:eastAsia="zh-CN"/>
              </w:rPr>
              <w:t>数字遗珍——非遗文化多维信息可视化设计</w:t>
            </w:r>
          </w:p>
        </w:tc>
      </w:tr>
      <w:tr w:rsidR="00362375" w14:paraId="0A936D9E" w14:textId="77777777">
        <w:trPr>
          <w:jc w:val="center"/>
        </w:trPr>
        <w:tc>
          <w:tcPr>
            <w:tcW w:w="2232" w:type="dxa"/>
            <w:shd w:val="clear" w:color="auto" w:fill="F3EBDD"/>
            <w:tcMar>
              <w:top w:w="100" w:type="dxa"/>
              <w:left w:w="130" w:type="dxa"/>
              <w:bottom w:w="100" w:type="dxa"/>
              <w:right w:w="130" w:type="dxa"/>
            </w:tcMar>
            <w:vAlign w:val="center"/>
          </w:tcPr>
          <w:p w14:paraId="3CFBA2FD" w14:textId="77777777" w:rsidR="00362375" w:rsidRDefault="00000000">
            <w:r>
              <w:rPr>
                <w:b/>
                <w:color w:val="704536"/>
                <w:sz w:val="21"/>
              </w:rPr>
              <w:t>作品形式</w:t>
            </w:r>
          </w:p>
        </w:tc>
        <w:tc>
          <w:tcPr>
            <w:tcW w:w="6552" w:type="dxa"/>
            <w:tcMar>
              <w:top w:w="100" w:type="dxa"/>
              <w:left w:w="130" w:type="dxa"/>
              <w:bottom w:w="100" w:type="dxa"/>
              <w:right w:w="130" w:type="dxa"/>
            </w:tcMar>
            <w:vAlign w:val="center"/>
          </w:tcPr>
          <w:p w14:paraId="1CA8961C" w14:textId="77777777" w:rsidR="00362375" w:rsidRDefault="00000000">
            <w:pPr>
              <w:rPr>
                <w:lang w:eastAsia="zh-CN"/>
              </w:rPr>
            </w:pPr>
            <w:r>
              <w:rPr>
                <w:color w:val="1E1915"/>
                <w:sz w:val="21"/>
                <w:lang w:eastAsia="zh-CN"/>
              </w:rPr>
              <w:t>交互网页 / H5 数字媒体项目</w:t>
            </w:r>
          </w:p>
        </w:tc>
      </w:tr>
      <w:tr w:rsidR="00362375" w14:paraId="515F88CF" w14:textId="77777777">
        <w:trPr>
          <w:jc w:val="center"/>
        </w:trPr>
        <w:tc>
          <w:tcPr>
            <w:tcW w:w="2232" w:type="dxa"/>
            <w:shd w:val="clear" w:color="auto" w:fill="F3EBDD"/>
            <w:tcMar>
              <w:top w:w="100" w:type="dxa"/>
              <w:left w:w="130" w:type="dxa"/>
              <w:bottom w:w="100" w:type="dxa"/>
              <w:right w:w="130" w:type="dxa"/>
            </w:tcMar>
            <w:vAlign w:val="center"/>
          </w:tcPr>
          <w:p w14:paraId="54E0F7C6" w14:textId="77777777" w:rsidR="00362375" w:rsidRDefault="00000000">
            <w:r>
              <w:rPr>
                <w:b/>
                <w:color w:val="704536"/>
                <w:sz w:val="21"/>
              </w:rPr>
              <w:t>选题对象</w:t>
            </w:r>
          </w:p>
        </w:tc>
        <w:tc>
          <w:tcPr>
            <w:tcW w:w="6552" w:type="dxa"/>
            <w:tcMar>
              <w:top w:w="100" w:type="dxa"/>
              <w:left w:w="130" w:type="dxa"/>
              <w:bottom w:w="100" w:type="dxa"/>
              <w:right w:w="130" w:type="dxa"/>
            </w:tcMar>
            <w:vAlign w:val="center"/>
          </w:tcPr>
          <w:p w14:paraId="558E5BAB" w14:textId="77777777" w:rsidR="00362375" w:rsidRDefault="00000000">
            <w:r>
              <w:rPr>
                <w:color w:val="1E1915"/>
                <w:sz w:val="21"/>
              </w:rPr>
              <w:t>中国传统木版年画</w:t>
            </w:r>
          </w:p>
        </w:tc>
      </w:tr>
      <w:tr w:rsidR="00362375" w14:paraId="743477FF" w14:textId="77777777">
        <w:trPr>
          <w:jc w:val="center"/>
        </w:trPr>
        <w:tc>
          <w:tcPr>
            <w:tcW w:w="2232" w:type="dxa"/>
            <w:shd w:val="clear" w:color="auto" w:fill="F3EBDD"/>
            <w:tcMar>
              <w:top w:w="100" w:type="dxa"/>
              <w:left w:w="130" w:type="dxa"/>
              <w:bottom w:w="100" w:type="dxa"/>
              <w:right w:w="130" w:type="dxa"/>
            </w:tcMar>
            <w:vAlign w:val="center"/>
          </w:tcPr>
          <w:p w14:paraId="5910574C" w14:textId="77777777" w:rsidR="00362375" w:rsidRDefault="00000000">
            <w:r>
              <w:rPr>
                <w:b/>
                <w:color w:val="704536"/>
                <w:sz w:val="21"/>
              </w:rPr>
              <w:t>学号</w:t>
            </w:r>
          </w:p>
        </w:tc>
        <w:tc>
          <w:tcPr>
            <w:tcW w:w="6552" w:type="dxa"/>
            <w:tcMar>
              <w:top w:w="100" w:type="dxa"/>
              <w:left w:w="130" w:type="dxa"/>
              <w:bottom w:w="100" w:type="dxa"/>
              <w:right w:w="130" w:type="dxa"/>
            </w:tcMar>
            <w:vAlign w:val="center"/>
          </w:tcPr>
          <w:p w14:paraId="62F1E03D" w14:textId="764DB76A" w:rsidR="00362375" w:rsidRDefault="00F0045D">
            <w:r>
              <w:rPr>
                <w:color w:val="1E1915"/>
                <w:sz w:val="21"/>
              </w:rPr>
              <w:t>23120032038</w:t>
            </w:r>
            <w:r w:rsidR="00000000">
              <w:rPr>
                <w:color w:val="1E1915"/>
                <w:sz w:val="21"/>
              </w:rPr>
              <w:t>__</w:t>
            </w:r>
          </w:p>
        </w:tc>
      </w:tr>
      <w:tr w:rsidR="00362375" w14:paraId="7716A7D4" w14:textId="77777777">
        <w:trPr>
          <w:jc w:val="center"/>
        </w:trPr>
        <w:tc>
          <w:tcPr>
            <w:tcW w:w="2232" w:type="dxa"/>
            <w:shd w:val="clear" w:color="auto" w:fill="F3EBDD"/>
            <w:tcMar>
              <w:top w:w="100" w:type="dxa"/>
              <w:left w:w="130" w:type="dxa"/>
              <w:bottom w:w="100" w:type="dxa"/>
              <w:right w:w="130" w:type="dxa"/>
            </w:tcMar>
            <w:vAlign w:val="center"/>
          </w:tcPr>
          <w:p w14:paraId="1BEC6ACC" w14:textId="77777777" w:rsidR="00362375" w:rsidRDefault="00000000">
            <w:r>
              <w:rPr>
                <w:b/>
                <w:color w:val="704536"/>
                <w:sz w:val="21"/>
              </w:rPr>
              <w:t>姓名</w:t>
            </w:r>
          </w:p>
        </w:tc>
        <w:tc>
          <w:tcPr>
            <w:tcW w:w="6552" w:type="dxa"/>
            <w:tcMar>
              <w:top w:w="100" w:type="dxa"/>
              <w:left w:w="130" w:type="dxa"/>
              <w:bottom w:w="100" w:type="dxa"/>
              <w:right w:w="130" w:type="dxa"/>
            </w:tcMar>
            <w:vAlign w:val="center"/>
          </w:tcPr>
          <w:p w14:paraId="57C9E302" w14:textId="7B86D72F" w:rsidR="00362375" w:rsidRDefault="00F0045D">
            <w:r>
              <w:rPr>
                <w:rFonts w:hint="eastAsia"/>
                <w:color w:val="1E1915"/>
                <w:sz w:val="21"/>
                <w:lang w:eastAsia="zh-CN"/>
              </w:rPr>
              <w:t>戴文彦</w:t>
            </w:r>
            <w:r w:rsidR="00000000">
              <w:rPr>
                <w:color w:val="1E1915"/>
                <w:sz w:val="21"/>
              </w:rPr>
              <w:t>_</w:t>
            </w:r>
          </w:p>
        </w:tc>
      </w:tr>
    </w:tbl>
    <w:p w14:paraId="3B3163A1" w14:textId="77777777" w:rsidR="00362375" w:rsidRDefault="00000000">
      <w:pPr>
        <w:spacing w:before="720"/>
        <w:jc w:val="center"/>
      </w:pPr>
      <w:r>
        <w:rPr>
          <w:color w:val="5F5047"/>
          <w:sz w:val="19"/>
        </w:rPr>
        <w:t>在线作品：https://hans200406.github.io/Carved-China/</w:t>
      </w:r>
      <w:r>
        <w:br w:type="page"/>
      </w:r>
    </w:p>
    <w:p w14:paraId="70C7FBD1" w14:textId="77777777" w:rsidR="00362375" w:rsidRDefault="00000000">
      <w:pPr>
        <w:pStyle w:val="1"/>
        <w:rPr>
          <w:lang w:eastAsia="zh-CN"/>
        </w:rPr>
      </w:pPr>
      <w:r>
        <w:rPr>
          <w:lang w:eastAsia="zh-CN"/>
        </w:rPr>
        <w:lastRenderedPageBreak/>
        <w:t>一、项目背景与选题意义</w:t>
      </w:r>
    </w:p>
    <w:p w14:paraId="43146315" w14:textId="77777777" w:rsidR="00362375" w:rsidRDefault="00000000">
      <w:pPr>
        <w:ind w:firstLine="440"/>
        <w:jc w:val="both"/>
        <w:rPr>
          <w:lang w:eastAsia="zh-CN"/>
        </w:rPr>
      </w:pPr>
      <w:r>
        <w:rPr>
          <w:color w:val="1E1915"/>
          <w:lang w:eastAsia="zh-CN"/>
        </w:rPr>
        <w:t>本课程设计以中国传统木版年画为研究与创作对象，作品中文名为“版上山河”，英文名为“Carved China”。木版年画是伴随春节礼俗、雕版印刷和民间信仰长期发展起来的传统视觉艺术。它既是门神、吉祥娃娃、戏曲故事、花鸟瑞兽等图像的载体，也是观察地方城镇、手工业网络、审美习惯和生活愿望的重要文化样本。不同产地在造型、线条、工序和配色上各具特点，例如杨柳青年画强调木版套印与手工彩绘结合，桃花坞年画具有江南印刷传统，朱仙镇与武强等北方流派线条朴厚，绵竹、滩头等西南流派又形成独特的手绘或本地造纸工序。</w:t>
      </w:r>
    </w:p>
    <w:p w14:paraId="0029F4AD" w14:textId="77777777" w:rsidR="00362375" w:rsidRDefault="00000000">
      <w:pPr>
        <w:ind w:firstLine="440"/>
        <w:jc w:val="both"/>
        <w:rPr>
          <w:lang w:eastAsia="zh-CN"/>
        </w:rPr>
      </w:pPr>
      <w:r>
        <w:rPr>
          <w:color w:val="1E1915"/>
          <w:lang w:eastAsia="zh-CN"/>
        </w:rPr>
        <w:t>课程任务要求同时完成理性的数据分析和感性的图形艺术两个模块，并将二者整合为交互数字媒体作品。因此，本项目没有将年画处理为静态图片展览，而是建立“全国流派宏观比较—历史与题材结构分析—传统色彩编码—生成艺术重构”的叙事链条。模块A使用真实名录与权威资料建立数据基础，模块B把门神、莲花、鲤鱼、花鸟和云纹等元素转化为可计算的几何图元，模块C通过滚动、悬停、点击、筛选和参数调节将两部分连接起来。</w:t>
      </w:r>
    </w:p>
    <w:p w14:paraId="649C2E5E" w14:textId="77777777" w:rsidR="00362375" w:rsidRDefault="00000000">
      <w:pPr>
        <w:ind w:firstLine="440"/>
        <w:jc w:val="both"/>
        <w:rPr>
          <w:lang w:eastAsia="zh-CN"/>
        </w:rPr>
      </w:pPr>
      <w:r>
        <w:rPr>
          <w:color w:val="1E1915"/>
          <w:lang w:eastAsia="zh-CN"/>
        </w:rPr>
        <w:t>选择全国木版年画进行对比具有三方面意义。第一，年画项目分布跨越华北、华东、华中、华南和西南，适合通过地图呈现地域谱系。第二，各流派的形成时代、题材功能和制作工艺差异显著，可支持时间轴、题材频次和色彩比较。第三，年画本身具有对称、重复、套色和符号化特征，适合转译为p5.js生成艺术。通过信息可视化，观众不仅能“看到年画”，还可以理解不同流派为何形成差异，并通过交互参与新的数字年画生成过程。</w:t>
      </w:r>
    </w:p>
    <w:p w14:paraId="56ABBBB8" w14:textId="77777777" w:rsidR="00362375" w:rsidRDefault="00000000">
      <w:pPr>
        <w:keepNext/>
        <w:spacing w:before="80" w:after="40"/>
        <w:jc w:val="center"/>
      </w:pPr>
      <w:r>
        <w:rPr>
          <w:noProof/>
        </w:rPr>
        <w:lastRenderedPageBreak/>
        <w:drawing>
          <wp:inline distT="0" distB="0" distL="0" distR="0" wp14:anchorId="55466BA9" wp14:editId="099D19CD">
            <wp:extent cx="5760720" cy="2496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process.png"/>
                    <pic:cNvPicPr/>
                  </pic:nvPicPr>
                  <pic:blipFill>
                    <a:blip r:embed="rId8"/>
                    <a:stretch>
                      <a:fillRect/>
                    </a:stretch>
                  </pic:blipFill>
                  <pic:spPr>
                    <a:xfrm>
                      <a:off x="0" y="0"/>
                      <a:ext cx="5760720" cy="2496312"/>
                    </a:xfrm>
                    <a:prstGeom prst="rect">
                      <a:avLst/>
                    </a:prstGeom>
                  </pic:spPr>
                </pic:pic>
              </a:graphicData>
            </a:graphic>
          </wp:inline>
        </w:drawing>
      </w:r>
    </w:p>
    <w:p w14:paraId="154D5577" w14:textId="77777777" w:rsidR="00362375" w:rsidRDefault="00000000">
      <w:pPr>
        <w:keepLines/>
        <w:spacing w:before="80" w:after="200"/>
        <w:jc w:val="center"/>
        <w:rPr>
          <w:lang w:eastAsia="zh-CN"/>
        </w:rPr>
      </w:pPr>
      <w:r>
        <w:rPr>
          <w:color w:val="5F5047"/>
          <w:sz w:val="18"/>
          <w:lang w:eastAsia="zh-CN"/>
        </w:rPr>
        <w:t>图1  课程设计流程草图：资料采集、清洗编码、模块A、模块B与模块C的关系</w:t>
      </w:r>
    </w:p>
    <w:p w14:paraId="52D484FB" w14:textId="77777777" w:rsidR="00362375" w:rsidRDefault="00000000">
      <w:pPr>
        <w:pStyle w:val="1"/>
        <w:rPr>
          <w:lang w:eastAsia="zh-CN"/>
        </w:rPr>
      </w:pPr>
      <w:r>
        <w:rPr>
          <w:lang w:eastAsia="zh-CN"/>
        </w:rPr>
        <w:t>二、数据来源与处理方法</w:t>
      </w:r>
    </w:p>
    <w:p w14:paraId="3DFE675A" w14:textId="77777777" w:rsidR="00362375" w:rsidRDefault="00000000">
      <w:pPr>
        <w:ind w:firstLine="440"/>
        <w:jc w:val="both"/>
        <w:rPr>
          <w:lang w:eastAsia="zh-CN"/>
        </w:rPr>
      </w:pPr>
      <w:r>
        <w:rPr>
          <w:color w:val="1E1915"/>
          <w:lang w:eastAsia="zh-CN"/>
        </w:rPr>
        <w:t>项目以中国非物质文化遗产网的国家级非物质文化遗产代表性项目名录为主来源，整理第一批传统美术类木版年画项目。基础字段包括项目序号、项目编号、项目名称、公布时间、类型、申报地区和保护单位；历史、题材与工艺信息则由中国非遗网项目详情页、地方政府、文化和旅游部门及博物馆公开资料补充。最终选取杨柳青、武强、桃花坞、漳州、杨家埠、高密扑灰、朱仙镇、滩头、佛山、梁平、绵竹和凤翔共12项样本，覆盖11个省级地区。每条记录均保存来源链接与访问日期，便于追溯。</w:t>
      </w:r>
    </w:p>
    <w:p w14:paraId="63CFBD30" w14:textId="77777777" w:rsidR="00362375" w:rsidRDefault="00000000">
      <w:pPr>
        <w:ind w:firstLine="440"/>
        <w:jc w:val="both"/>
        <w:rPr>
          <w:lang w:eastAsia="zh-CN"/>
        </w:rPr>
      </w:pPr>
      <w:r>
        <w:rPr>
          <w:color w:val="1E1915"/>
          <w:lang w:eastAsia="zh-CN"/>
        </w:rPr>
        <w:t>数据处理遵循“原始记录保留、标准字段另建、推断内容明确标注”的原则。首先统一省级地区和城市名称，并补充用于地图表达的近似经纬度；其次把“宋末元初”“明代成化年间”“明末清初”等文字年代归一为用于排序的近似年份，同时保留原始历史表述。这个年份只表示流派形成阶段，不代表精确创立日期。再次，将公开资料中的题材描述归并为门神驱邪、吉祥祈福、娃娃仕女、戏曲故事、花鸟瑞兽、民俗生活六个类别，以支持跨流派比较。</w:t>
      </w:r>
    </w:p>
    <w:p w14:paraId="3399BDF1" w14:textId="77777777" w:rsidR="00362375" w:rsidRDefault="00000000">
      <w:pPr>
        <w:ind w:firstLine="440"/>
        <w:jc w:val="both"/>
        <w:rPr>
          <w:lang w:eastAsia="zh-CN"/>
        </w:rPr>
      </w:pPr>
      <w:r>
        <w:rPr>
          <w:color w:val="1E1915"/>
          <w:lang w:eastAsia="zh-CN"/>
        </w:rPr>
        <w:lastRenderedPageBreak/>
        <w:t>色彩字段属于设计编码，而不是官方作品像素统计。项目根据权威资料对代表作品和传统用色的描述，将朱砂、藤黄、石绿、墨色与木褐整理为统一HEX值，用于网页图表和生成艺术色板。为防止把设计判断误写成客观统计，网页与报告均明确提示：色彩比较表达视觉倾向，不代表对全部馆藏作品进行测色。项目还编写了自动数据审计脚本，对重复ID、来源缺失、坐标缺失、HEX格式和题材枚举进行检查。当前12条记录在细节来源、坐标、题材和色彩字段上的覆盖率均为100%。</w:t>
      </w:r>
    </w:p>
    <w:tbl>
      <w:tblPr>
        <w:tblStyle w:val="aff1"/>
        <w:tblW w:w="0" w:type="auto"/>
        <w:jc w:val="center"/>
        <w:tblLayout w:type="fixed"/>
        <w:tblLook w:val="04A0" w:firstRow="1" w:lastRow="0" w:firstColumn="1" w:lastColumn="0" w:noHBand="0" w:noVBand="1"/>
      </w:tblPr>
      <w:tblGrid>
        <w:gridCol w:w="3216"/>
        <w:gridCol w:w="3312"/>
        <w:gridCol w:w="3384"/>
      </w:tblGrid>
      <w:tr w:rsidR="00362375" w14:paraId="43C59443" w14:textId="77777777">
        <w:trPr>
          <w:jc w:val="center"/>
        </w:trPr>
        <w:tc>
          <w:tcPr>
            <w:tcW w:w="2088" w:type="dxa"/>
            <w:shd w:val="clear" w:color="auto" w:fill="F3EBDD"/>
            <w:tcMar>
              <w:top w:w="100" w:type="dxa"/>
              <w:left w:w="130" w:type="dxa"/>
              <w:bottom w:w="100" w:type="dxa"/>
              <w:right w:w="130" w:type="dxa"/>
            </w:tcMar>
          </w:tcPr>
          <w:p w14:paraId="2C18A8C9" w14:textId="77777777" w:rsidR="00362375" w:rsidRDefault="00000000">
            <w:r>
              <w:rPr>
                <w:b/>
                <w:color w:val="704536"/>
                <w:sz w:val="19"/>
              </w:rPr>
              <w:t>字段</w:t>
            </w:r>
          </w:p>
        </w:tc>
        <w:tc>
          <w:tcPr>
            <w:tcW w:w="3312" w:type="dxa"/>
            <w:shd w:val="clear" w:color="auto" w:fill="F3EBDD"/>
            <w:tcMar>
              <w:top w:w="100" w:type="dxa"/>
              <w:left w:w="130" w:type="dxa"/>
              <w:bottom w:w="100" w:type="dxa"/>
              <w:right w:w="130" w:type="dxa"/>
            </w:tcMar>
          </w:tcPr>
          <w:p w14:paraId="490FDF84" w14:textId="77777777" w:rsidR="00362375" w:rsidRDefault="00000000">
            <w:r>
              <w:rPr>
                <w:b/>
                <w:color w:val="704536"/>
                <w:sz w:val="19"/>
              </w:rPr>
              <w:t>含义</w:t>
            </w:r>
          </w:p>
        </w:tc>
        <w:tc>
          <w:tcPr>
            <w:tcW w:w="3384" w:type="dxa"/>
            <w:shd w:val="clear" w:color="auto" w:fill="F3EBDD"/>
            <w:tcMar>
              <w:top w:w="100" w:type="dxa"/>
              <w:left w:w="130" w:type="dxa"/>
              <w:bottom w:w="100" w:type="dxa"/>
              <w:right w:w="130" w:type="dxa"/>
            </w:tcMar>
          </w:tcPr>
          <w:p w14:paraId="00FEA326" w14:textId="77777777" w:rsidR="00362375" w:rsidRDefault="00000000">
            <w:r>
              <w:rPr>
                <w:b/>
                <w:color w:val="704536"/>
                <w:sz w:val="19"/>
              </w:rPr>
              <w:t>用途</w:t>
            </w:r>
          </w:p>
        </w:tc>
      </w:tr>
      <w:tr w:rsidR="00362375" w14:paraId="06652246" w14:textId="77777777">
        <w:trPr>
          <w:jc w:val="center"/>
        </w:trPr>
        <w:tc>
          <w:tcPr>
            <w:tcW w:w="3216" w:type="dxa"/>
            <w:vAlign w:val="center"/>
          </w:tcPr>
          <w:p w14:paraId="0DD5B5AC" w14:textId="77777777" w:rsidR="00362375" w:rsidRDefault="00000000">
            <w:r>
              <w:rPr>
                <w:color w:val="1E1915"/>
                <w:sz w:val="19"/>
              </w:rPr>
              <w:t>项目名称/编号</w:t>
            </w:r>
          </w:p>
        </w:tc>
        <w:tc>
          <w:tcPr>
            <w:tcW w:w="3216" w:type="dxa"/>
            <w:vAlign w:val="center"/>
          </w:tcPr>
          <w:p w14:paraId="5AA73291" w14:textId="77777777" w:rsidR="00362375" w:rsidRDefault="00000000">
            <w:pPr>
              <w:rPr>
                <w:lang w:eastAsia="zh-CN"/>
              </w:rPr>
            </w:pPr>
            <w:r>
              <w:rPr>
                <w:color w:val="1E1915"/>
                <w:sz w:val="19"/>
                <w:lang w:eastAsia="zh-CN"/>
              </w:rPr>
              <w:t>国家级项目名称及Ⅶ类编号</w:t>
            </w:r>
          </w:p>
        </w:tc>
        <w:tc>
          <w:tcPr>
            <w:tcW w:w="3216" w:type="dxa"/>
            <w:vAlign w:val="center"/>
          </w:tcPr>
          <w:p w14:paraId="5B4BCF86" w14:textId="77777777" w:rsidR="00362375" w:rsidRDefault="00000000">
            <w:r>
              <w:rPr>
                <w:color w:val="1E1915"/>
                <w:sz w:val="19"/>
              </w:rPr>
              <w:t>识别项目与名录依据</w:t>
            </w:r>
          </w:p>
        </w:tc>
      </w:tr>
      <w:tr w:rsidR="00362375" w14:paraId="36CC78EB" w14:textId="77777777">
        <w:trPr>
          <w:jc w:val="center"/>
        </w:trPr>
        <w:tc>
          <w:tcPr>
            <w:tcW w:w="3216" w:type="dxa"/>
            <w:vAlign w:val="center"/>
          </w:tcPr>
          <w:p w14:paraId="70E07BB1" w14:textId="77777777" w:rsidR="00362375" w:rsidRDefault="00000000">
            <w:r>
              <w:rPr>
                <w:color w:val="1E1915"/>
                <w:sz w:val="19"/>
              </w:rPr>
              <w:t>省市/坐标</w:t>
            </w:r>
          </w:p>
        </w:tc>
        <w:tc>
          <w:tcPr>
            <w:tcW w:w="3216" w:type="dxa"/>
            <w:vAlign w:val="center"/>
          </w:tcPr>
          <w:p w14:paraId="6EF63234" w14:textId="77777777" w:rsidR="00362375" w:rsidRDefault="00000000">
            <w:pPr>
              <w:rPr>
                <w:lang w:eastAsia="zh-CN"/>
              </w:rPr>
            </w:pPr>
            <w:r>
              <w:rPr>
                <w:color w:val="1E1915"/>
                <w:sz w:val="19"/>
                <w:lang w:eastAsia="zh-CN"/>
              </w:rPr>
              <w:t>申报地区及近似经纬度</w:t>
            </w:r>
          </w:p>
        </w:tc>
        <w:tc>
          <w:tcPr>
            <w:tcW w:w="3216" w:type="dxa"/>
            <w:vAlign w:val="center"/>
          </w:tcPr>
          <w:p w14:paraId="75F0ED4C" w14:textId="77777777" w:rsidR="00362375" w:rsidRDefault="00000000">
            <w:r>
              <w:rPr>
                <w:color w:val="1E1915"/>
                <w:sz w:val="19"/>
              </w:rPr>
              <w:t>地图分布与空间比较</w:t>
            </w:r>
          </w:p>
        </w:tc>
      </w:tr>
      <w:tr w:rsidR="00362375" w14:paraId="501E7586" w14:textId="77777777">
        <w:trPr>
          <w:jc w:val="center"/>
        </w:trPr>
        <w:tc>
          <w:tcPr>
            <w:tcW w:w="3216" w:type="dxa"/>
            <w:vAlign w:val="center"/>
          </w:tcPr>
          <w:p w14:paraId="5D479008" w14:textId="77777777" w:rsidR="00362375" w:rsidRDefault="00000000">
            <w:r>
              <w:rPr>
                <w:color w:val="1E1915"/>
                <w:sz w:val="19"/>
              </w:rPr>
              <w:t>起源表述/年份</w:t>
            </w:r>
          </w:p>
        </w:tc>
        <w:tc>
          <w:tcPr>
            <w:tcW w:w="3216" w:type="dxa"/>
            <w:vAlign w:val="center"/>
          </w:tcPr>
          <w:p w14:paraId="1D6D79BF" w14:textId="77777777" w:rsidR="00362375" w:rsidRDefault="00000000">
            <w:pPr>
              <w:rPr>
                <w:lang w:eastAsia="zh-CN"/>
              </w:rPr>
            </w:pPr>
            <w:r>
              <w:rPr>
                <w:color w:val="1E1915"/>
                <w:sz w:val="19"/>
                <w:lang w:eastAsia="zh-CN"/>
              </w:rPr>
              <w:t>原始历史描述及归一化排序值</w:t>
            </w:r>
          </w:p>
        </w:tc>
        <w:tc>
          <w:tcPr>
            <w:tcW w:w="3216" w:type="dxa"/>
            <w:vAlign w:val="center"/>
          </w:tcPr>
          <w:p w14:paraId="0BE44B03" w14:textId="77777777" w:rsidR="00362375" w:rsidRDefault="00000000">
            <w:r>
              <w:rPr>
                <w:color w:val="1E1915"/>
                <w:sz w:val="19"/>
              </w:rPr>
              <w:t>历史时间轴</w:t>
            </w:r>
          </w:p>
        </w:tc>
      </w:tr>
      <w:tr w:rsidR="00362375" w14:paraId="5A75C2AC" w14:textId="77777777">
        <w:trPr>
          <w:jc w:val="center"/>
        </w:trPr>
        <w:tc>
          <w:tcPr>
            <w:tcW w:w="3216" w:type="dxa"/>
            <w:vAlign w:val="center"/>
          </w:tcPr>
          <w:p w14:paraId="3B8F81CD" w14:textId="77777777" w:rsidR="00362375" w:rsidRDefault="00000000">
            <w:r>
              <w:rPr>
                <w:color w:val="1E1915"/>
                <w:sz w:val="19"/>
              </w:rPr>
              <w:t>题材类别</w:t>
            </w:r>
          </w:p>
        </w:tc>
        <w:tc>
          <w:tcPr>
            <w:tcW w:w="3216" w:type="dxa"/>
            <w:vAlign w:val="center"/>
          </w:tcPr>
          <w:p w14:paraId="0B737370" w14:textId="77777777" w:rsidR="00362375" w:rsidRDefault="00000000">
            <w:r>
              <w:rPr>
                <w:color w:val="1E1915"/>
                <w:sz w:val="19"/>
              </w:rPr>
              <w:t>六类统一的内容编码</w:t>
            </w:r>
          </w:p>
        </w:tc>
        <w:tc>
          <w:tcPr>
            <w:tcW w:w="3216" w:type="dxa"/>
            <w:vAlign w:val="center"/>
          </w:tcPr>
          <w:p w14:paraId="67203A9F" w14:textId="77777777" w:rsidR="00362375" w:rsidRDefault="00000000">
            <w:r>
              <w:rPr>
                <w:color w:val="1E1915"/>
                <w:sz w:val="19"/>
              </w:rPr>
              <w:t>跨流派题材比较</w:t>
            </w:r>
          </w:p>
        </w:tc>
      </w:tr>
      <w:tr w:rsidR="00362375" w14:paraId="1A94EF4C" w14:textId="77777777">
        <w:trPr>
          <w:jc w:val="center"/>
        </w:trPr>
        <w:tc>
          <w:tcPr>
            <w:tcW w:w="3216" w:type="dxa"/>
            <w:vAlign w:val="center"/>
          </w:tcPr>
          <w:p w14:paraId="72BA2350" w14:textId="77777777" w:rsidR="00362375" w:rsidRDefault="00000000">
            <w:r>
              <w:rPr>
                <w:color w:val="1E1915"/>
                <w:sz w:val="19"/>
              </w:rPr>
              <w:t>代表色</w:t>
            </w:r>
          </w:p>
        </w:tc>
        <w:tc>
          <w:tcPr>
            <w:tcW w:w="3216" w:type="dxa"/>
            <w:vAlign w:val="center"/>
          </w:tcPr>
          <w:p w14:paraId="69E9A44E" w14:textId="77777777" w:rsidR="00362375" w:rsidRDefault="00000000">
            <w:pPr>
              <w:rPr>
                <w:lang w:eastAsia="zh-CN"/>
              </w:rPr>
            </w:pPr>
            <w:r>
              <w:rPr>
                <w:color w:val="1E1915"/>
                <w:sz w:val="19"/>
                <w:lang w:eastAsia="zh-CN"/>
              </w:rPr>
              <w:t>传统色名及HEX设计编码</w:t>
            </w:r>
          </w:p>
        </w:tc>
        <w:tc>
          <w:tcPr>
            <w:tcW w:w="3216" w:type="dxa"/>
            <w:vAlign w:val="center"/>
          </w:tcPr>
          <w:p w14:paraId="43512212" w14:textId="77777777" w:rsidR="00362375" w:rsidRDefault="00000000">
            <w:r>
              <w:rPr>
                <w:color w:val="1E1915"/>
                <w:sz w:val="19"/>
              </w:rPr>
              <w:t>色彩比较与生成艺术</w:t>
            </w:r>
          </w:p>
        </w:tc>
      </w:tr>
      <w:tr w:rsidR="00362375" w14:paraId="65F987CC" w14:textId="77777777">
        <w:trPr>
          <w:jc w:val="center"/>
        </w:trPr>
        <w:tc>
          <w:tcPr>
            <w:tcW w:w="3216" w:type="dxa"/>
            <w:vAlign w:val="center"/>
          </w:tcPr>
          <w:p w14:paraId="5EACF985" w14:textId="77777777" w:rsidR="00362375" w:rsidRDefault="00000000">
            <w:r>
              <w:rPr>
                <w:color w:val="1E1915"/>
                <w:sz w:val="19"/>
              </w:rPr>
              <w:t>来源链接</w:t>
            </w:r>
          </w:p>
        </w:tc>
        <w:tc>
          <w:tcPr>
            <w:tcW w:w="3216" w:type="dxa"/>
            <w:vAlign w:val="center"/>
          </w:tcPr>
          <w:p w14:paraId="2CED4506" w14:textId="77777777" w:rsidR="00362375" w:rsidRDefault="00000000">
            <w:r>
              <w:rPr>
                <w:color w:val="1E1915"/>
                <w:sz w:val="19"/>
              </w:rPr>
              <w:t>名录与项目细节页面</w:t>
            </w:r>
          </w:p>
        </w:tc>
        <w:tc>
          <w:tcPr>
            <w:tcW w:w="3216" w:type="dxa"/>
            <w:vAlign w:val="center"/>
          </w:tcPr>
          <w:p w14:paraId="257DCBA0" w14:textId="77777777" w:rsidR="00362375" w:rsidRDefault="00000000">
            <w:r>
              <w:rPr>
                <w:color w:val="1E1915"/>
                <w:sz w:val="19"/>
              </w:rPr>
              <w:t>数据追溯与核验</w:t>
            </w:r>
          </w:p>
        </w:tc>
      </w:tr>
    </w:tbl>
    <w:p w14:paraId="30DB92AC" w14:textId="77777777" w:rsidR="00362375" w:rsidRDefault="00000000">
      <w:pPr>
        <w:keepLines/>
        <w:spacing w:before="80" w:after="200"/>
        <w:jc w:val="center"/>
        <w:rPr>
          <w:lang w:eastAsia="zh-CN"/>
        </w:rPr>
      </w:pPr>
      <w:r>
        <w:rPr>
          <w:color w:val="5F5047"/>
          <w:sz w:val="18"/>
          <w:lang w:eastAsia="zh-CN"/>
        </w:rPr>
        <w:t>表1  木版年画数据字段及其可视化用途</w:t>
      </w:r>
    </w:p>
    <w:p w14:paraId="7296AA19" w14:textId="77777777" w:rsidR="00362375" w:rsidRDefault="00000000">
      <w:pPr>
        <w:pStyle w:val="1"/>
        <w:rPr>
          <w:lang w:eastAsia="zh-CN"/>
        </w:rPr>
      </w:pPr>
      <w:r>
        <w:rPr>
          <w:lang w:eastAsia="zh-CN"/>
        </w:rPr>
        <w:t>三、模块</w:t>
      </w:r>
      <w:r>
        <w:rPr>
          <w:lang w:eastAsia="zh-CN"/>
        </w:rPr>
        <w:t>A</w:t>
      </w:r>
      <w:r>
        <w:rPr>
          <w:lang w:eastAsia="zh-CN"/>
        </w:rPr>
        <w:t>：数据分析信息可视化设计</w:t>
      </w:r>
    </w:p>
    <w:p w14:paraId="19086437" w14:textId="77777777" w:rsidR="00362375" w:rsidRDefault="00000000">
      <w:pPr>
        <w:ind w:firstLine="440"/>
        <w:jc w:val="both"/>
        <w:rPr>
          <w:lang w:eastAsia="zh-CN"/>
        </w:rPr>
      </w:pPr>
      <w:r>
        <w:rPr>
          <w:color w:val="1E1915"/>
          <w:lang w:eastAsia="zh-CN"/>
        </w:rPr>
        <w:t>模块A围绕“木版年画如何在中国形成多中心流派”建立宏观画像。项目采用全国地图、历史时间轴、题材频次图和传统色彩比较图四种形式。全国地图使用本地GeoJSON边界与项目经纬度标记，既能显示跨区域分布，又允许用户缩放和点击项目点。地图点击某一流派后，题材图和色彩图会同步筛选，从而避免地图成为孤立装饰。</w:t>
      </w:r>
    </w:p>
    <w:p w14:paraId="71F95171" w14:textId="77777777" w:rsidR="00362375" w:rsidRDefault="00000000">
      <w:pPr>
        <w:ind w:firstLine="440"/>
        <w:jc w:val="both"/>
        <w:rPr>
          <w:lang w:eastAsia="zh-CN"/>
        </w:rPr>
      </w:pPr>
      <w:r>
        <w:rPr>
          <w:color w:val="1E1915"/>
          <w:lang w:eastAsia="zh-CN"/>
        </w:rPr>
        <w:t>历史时间轴使用散点而非连续折线，因为各流派的形成时间不是同一变量的连续观测值，也不存在可直接相连的数值趋势。纵轴列出流派，横轴显示归一后的年代，悬停时呈现“北宋”“宋末</w:t>
      </w:r>
      <w:r>
        <w:rPr>
          <w:color w:val="1E1915"/>
          <w:lang w:eastAsia="zh-CN"/>
        </w:rPr>
        <w:lastRenderedPageBreak/>
        <w:t>元初”“明代成化年间”等原始表述。题材频次采用横向条形图，便于容纳中文类别名称并进行数量排序；色彩比较使用竖向柱状图，将朱砂、藤黄、石绿和墨色的流派覆盖数量与对应色块结合，使数值和视觉编码保持一致。</w:t>
      </w:r>
    </w:p>
    <w:p w14:paraId="04B6567D" w14:textId="77777777" w:rsidR="00362375" w:rsidRDefault="00000000">
      <w:pPr>
        <w:keepNext/>
        <w:spacing w:before="80" w:after="40"/>
        <w:jc w:val="center"/>
      </w:pPr>
      <w:r>
        <w:rPr>
          <w:noProof/>
        </w:rPr>
        <w:drawing>
          <wp:inline distT="0" distB="0" distL="0" distR="0" wp14:anchorId="6AF37F86" wp14:editId="1A701E69">
            <wp:extent cx="5532120"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p.png"/>
                    <pic:cNvPicPr/>
                  </pic:nvPicPr>
                  <pic:blipFill>
                    <a:blip r:embed="rId9"/>
                    <a:stretch>
                      <a:fillRect/>
                    </a:stretch>
                  </pic:blipFill>
                  <pic:spPr>
                    <a:xfrm>
                      <a:off x="0" y="0"/>
                      <a:ext cx="5532120" cy="3457575"/>
                    </a:xfrm>
                    <a:prstGeom prst="rect">
                      <a:avLst/>
                    </a:prstGeom>
                  </pic:spPr>
                </pic:pic>
              </a:graphicData>
            </a:graphic>
          </wp:inline>
        </w:drawing>
      </w:r>
    </w:p>
    <w:p w14:paraId="6220A564" w14:textId="77777777" w:rsidR="00362375" w:rsidRDefault="00000000">
      <w:pPr>
        <w:keepLines/>
        <w:spacing w:before="80" w:after="200"/>
        <w:jc w:val="center"/>
        <w:rPr>
          <w:lang w:eastAsia="zh-CN"/>
        </w:rPr>
      </w:pPr>
      <w:r>
        <w:rPr>
          <w:color w:val="5F5047"/>
          <w:sz w:val="18"/>
          <w:lang w:eastAsia="zh-CN"/>
        </w:rPr>
        <w:t>图2  模块A全国木版年画项目分布地图</w:t>
      </w:r>
    </w:p>
    <w:p w14:paraId="1975DF12" w14:textId="77777777" w:rsidR="00362375" w:rsidRDefault="00000000">
      <w:pPr>
        <w:keepNext/>
        <w:spacing w:before="80" w:after="40"/>
        <w:jc w:val="center"/>
      </w:pPr>
      <w:r>
        <w:rPr>
          <w:noProof/>
        </w:rPr>
        <w:lastRenderedPageBreak/>
        <w:drawing>
          <wp:inline distT="0" distB="0" distL="0" distR="0" wp14:anchorId="5A4B56D1" wp14:editId="174E845E">
            <wp:extent cx="5532120" cy="345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harts.png"/>
                    <pic:cNvPicPr/>
                  </pic:nvPicPr>
                  <pic:blipFill>
                    <a:blip r:embed="rId10"/>
                    <a:stretch>
                      <a:fillRect/>
                    </a:stretch>
                  </pic:blipFill>
                  <pic:spPr>
                    <a:xfrm>
                      <a:off x="0" y="0"/>
                      <a:ext cx="5532120" cy="3457575"/>
                    </a:xfrm>
                    <a:prstGeom prst="rect">
                      <a:avLst/>
                    </a:prstGeom>
                  </pic:spPr>
                </pic:pic>
              </a:graphicData>
            </a:graphic>
          </wp:inline>
        </w:drawing>
      </w:r>
    </w:p>
    <w:p w14:paraId="59FB8509" w14:textId="77777777" w:rsidR="00362375" w:rsidRDefault="00000000">
      <w:pPr>
        <w:keepLines/>
        <w:spacing w:before="80" w:after="200"/>
        <w:jc w:val="center"/>
        <w:rPr>
          <w:lang w:eastAsia="zh-CN"/>
        </w:rPr>
      </w:pPr>
      <w:r>
        <w:rPr>
          <w:color w:val="5F5047"/>
          <w:sz w:val="18"/>
          <w:lang w:eastAsia="zh-CN"/>
        </w:rPr>
        <w:t>图3  模块A历史演进时间轴</w:t>
      </w:r>
    </w:p>
    <w:p w14:paraId="212B9FC2" w14:textId="77777777" w:rsidR="00362375" w:rsidRDefault="00000000">
      <w:pPr>
        <w:ind w:firstLine="440"/>
        <w:jc w:val="both"/>
        <w:rPr>
          <w:lang w:eastAsia="zh-CN"/>
        </w:rPr>
      </w:pPr>
      <w:r>
        <w:rPr>
          <w:color w:val="1E1915"/>
          <w:lang w:eastAsia="zh-CN"/>
        </w:rPr>
        <w:t>从当前样本中可以提炼三条主要洞察。第一，12项首批国家级样本分布在11个省级地区，形成明显的多中心格局；它们既包含天津、苏州、开封、潍坊等商业与交通节点，也包含武强、滩头、梁平、绵竹等具有地方手工业基础的县域或城镇，说明年画传播与节庆市场、纸张印刷条件和地方民俗生态密切相关。第二，在统一题材编码中，吉祥祈福出现于11项，戏曲故事出现于9项，门神驱邪出现于8项，表明年画首先服务于春节空间中的祈愿、镇宅和叙事功能，同时又吸收地方戏曲、历史传说与日常生活。第三，朱砂出现在全部12项代表色编码中，藤黄与石绿也具有较高覆盖率；共同色形成“年味”的视觉共识，而套印顺序、手绘方式和色彩比例又构成流派差异。</w:t>
      </w:r>
    </w:p>
    <w:p w14:paraId="219CA820" w14:textId="77777777" w:rsidR="00362375" w:rsidRDefault="00000000">
      <w:pPr>
        <w:ind w:firstLine="440"/>
        <w:jc w:val="both"/>
        <w:rPr>
          <w:lang w:eastAsia="zh-CN"/>
        </w:rPr>
      </w:pPr>
      <w:r>
        <w:rPr>
          <w:color w:val="1E1915"/>
          <w:lang w:eastAsia="zh-CN"/>
        </w:rPr>
        <w:t>上述结论的边界同样需要说明：样本范围是第一批国家级木版年画项目，并非中国全部年画产地；题材与色彩来自公开资料的描述性编码，不能替代大规模作品图像统计。因此，网页在图表旁保留数据口径提示，并在报告中公开来源与处理原则。这样的限制说明能够避免过度推断，也使后续扩展第二批及扩展项目时有清晰方法可循。</w:t>
      </w:r>
    </w:p>
    <w:p w14:paraId="11EA9484" w14:textId="77777777" w:rsidR="00362375" w:rsidRDefault="00000000">
      <w:pPr>
        <w:pStyle w:val="1"/>
        <w:rPr>
          <w:lang w:eastAsia="zh-CN"/>
        </w:rPr>
      </w:pPr>
      <w:r>
        <w:rPr>
          <w:lang w:eastAsia="zh-CN"/>
        </w:rPr>
        <w:lastRenderedPageBreak/>
        <w:t>四、模块</w:t>
      </w:r>
      <w:r>
        <w:rPr>
          <w:lang w:eastAsia="zh-CN"/>
        </w:rPr>
        <w:t>B</w:t>
      </w:r>
      <w:r>
        <w:rPr>
          <w:lang w:eastAsia="zh-CN"/>
        </w:rPr>
        <w:t>：图形艺术信息可视化设计</w:t>
      </w:r>
    </w:p>
    <w:p w14:paraId="6F504AF7" w14:textId="77777777" w:rsidR="00362375" w:rsidRDefault="00000000">
      <w:pPr>
        <w:ind w:firstLine="440"/>
        <w:jc w:val="both"/>
        <w:rPr>
          <w:lang w:eastAsia="zh-CN"/>
        </w:rPr>
      </w:pPr>
      <w:r>
        <w:rPr>
          <w:color w:val="1E1915"/>
          <w:lang w:eastAsia="zh-CN"/>
        </w:rPr>
        <w:t>模块B围绕年画的微观美学展开。课程任务要求不能直接堆砌照片，因此本项目没有把网络图片裁切成拼贴，而是以代码生成艺术重构年画的对称、重复、边框和套色规律。图形系统将莲花、盾形门神结构、鲤鱼轮廓、花瓣、菱形纹样与边框转化为Canvas几何图元，并通过旋转、缩放、环形排列和随机种子组成新的数字年画。</w:t>
      </w:r>
    </w:p>
    <w:p w14:paraId="7658DCB7" w14:textId="77777777" w:rsidR="00362375" w:rsidRDefault="00000000">
      <w:pPr>
        <w:ind w:firstLine="440"/>
        <w:jc w:val="both"/>
        <w:rPr>
          <w:lang w:eastAsia="zh-CN"/>
        </w:rPr>
      </w:pPr>
      <w:r>
        <w:rPr>
          <w:color w:val="1E1915"/>
          <w:lang w:eastAsia="zh-CN"/>
        </w:rPr>
        <w:t>生成器提供流派、题材、密度和随机种子四类控制。选择流派会切换经设计整理的代表色板；选择“吉祥祈福”“门神驱邪”或“花鸟瑞兽”会改变中心符号与放射节奏；密度滑杆控制纹样环数与复杂度；“重新套印”按钮改变随机种子，使图元位置和尺寸产生变化。系统保持确定性随机逻辑，同一参数和种子能够重现相同结果。用户还可以导出当前画布为PNG，用于保存个人生成作品。</w:t>
      </w:r>
    </w:p>
    <w:p w14:paraId="4A184367" w14:textId="77777777" w:rsidR="00362375" w:rsidRDefault="00000000">
      <w:pPr>
        <w:ind w:firstLine="440"/>
        <w:jc w:val="both"/>
        <w:rPr>
          <w:lang w:eastAsia="zh-CN"/>
        </w:rPr>
      </w:pPr>
      <w:r>
        <w:rPr>
          <w:color w:val="1E1915"/>
          <w:lang w:eastAsia="zh-CN"/>
        </w:rPr>
        <w:t>模块B与模块A之间通过数据字段建立联系。模块A中的题材编码决定生成器可选择的主题，流派色彩编码决定画布用色，历史与地域分析则为不同视觉风格提供文化背景。这样，生成艺术不是与数据无关的装饰，而是数据分析结果向视觉语言的转译。</w:t>
      </w:r>
    </w:p>
    <w:p w14:paraId="1FDEA80D" w14:textId="77777777" w:rsidR="00362375" w:rsidRDefault="00000000">
      <w:pPr>
        <w:keepNext/>
        <w:spacing w:before="80" w:after="40"/>
        <w:jc w:val="center"/>
      </w:pPr>
      <w:r>
        <w:rPr>
          <w:noProof/>
        </w:rPr>
        <w:lastRenderedPageBreak/>
        <w:drawing>
          <wp:inline distT="0" distB="0" distL="0" distR="0" wp14:anchorId="3A38C7F7" wp14:editId="2F5C22F4">
            <wp:extent cx="4892040"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tudio.png"/>
                    <pic:cNvPicPr/>
                  </pic:nvPicPr>
                  <pic:blipFill>
                    <a:blip r:embed="rId11"/>
                    <a:stretch>
                      <a:fillRect/>
                    </a:stretch>
                  </pic:blipFill>
                  <pic:spPr>
                    <a:xfrm>
                      <a:off x="0" y="0"/>
                      <a:ext cx="4892040" cy="3057525"/>
                    </a:xfrm>
                    <a:prstGeom prst="rect">
                      <a:avLst/>
                    </a:prstGeom>
                  </pic:spPr>
                </pic:pic>
              </a:graphicData>
            </a:graphic>
          </wp:inline>
        </w:drawing>
      </w:r>
    </w:p>
    <w:p w14:paraId="3BE1C833" w14:textId="77777777" w:rsidR="00362375" w:rsidRDefault="00000000">
      <w:pPr>
        <w:keepLines/>
        <w:spacing w:before="80" w:after="200"/>
        <w:jc w:val="center"/>
        <w:rPr>
          <w:lang w:eastAsia="zh-CN"/>
        </w:rPr>
      </w:pPr>
      <w:r>
        <w:rPr>
          <w:color w:val="5F5047"/>
          <w:sz w:val="18"/>
          <w:lang w:eastAsia="zh-CN"/>
        </w:rPr>
        <w:t>图4  模块B生成艺术与色彩参数界面</w:t>
      </w:r>
    </w:p>
    <w:p w14:paraId="5FCA1F52" w14:textId="77777777" w:rsidR="00362375" w:rsidRDefault="00000000">
      <w:pPr>
        <w:pStyle w:val="1"/>
        <w:rPr>
          <w:lang w:eastAsia="zh-CN"/>
        </w:rPr>
      </w:pPr>
      <w:r>
        <w:rPr>
          <w:lang w:eastAsia="zh-CN"/>
        </w:rPr>
        <w:t>五、模块</w:t>
      </w:r>
      <w:r>
        <w:rPr>
          <w:lang w:eastAsia="zh-CN"/>
        </w:rPr>
        <w:t>C</w:t>
      </w:r>
      <w:r>
        <w:rPr>
          <w:lang w:eastAsia="zh-CN"/>
        </w:rPr>
        <w:t>：文化叙事与交互设计</w:t>
      </w:r>
    </w:p>
    <w:p w14:paraId="682081FA" w14:textId="77777777" w:rsidR="00362375" w:rsidRDefault="00000000">
      <w:pPr>
        <w:ind w:firstLine="440"/>
        <w:jc w:val="both"/>
        <w:rPr>
          <w:lang w:eastAsia="zh-CN"/>
        </w:rPr>
      </w:pPr>
      <w:r>
        <w:rPr>
          <w:color w:val="1E1915"/>
          <w:lang w:eastAsia="zh-CN"/>
        </w:rPr>
        <w:t>模块C负责把理性分析与感性生成整合为连续体验。页面采用“开场吸引—全国分布—百年流变—题材功能—传统色彩—生成艺术—保护结语”的纵向叙事顺序。开场以宣纸暖白、朱砂和巨大的“版”字残影建立文化氛围；中段交替使用暖白、深墨和朱砂章节，让数据阅读保持节奏；生成艺术区转为深色背景，突出用户操作和套色画布；结尾以三条洞察回收全文。</w:t>
      </w:r>
    </w:p>
    <w:p w14:paraId="422730F5" w14:textId="77777777" w:rsidR="00362375" w:rsidRDefault="00000000">
      <w:pPr>
        <w:ind w:firstLine="440"/>
        <w:jc w:val="both"/>
        <w:rPr>
          <w:lang w:eastAsia="zh-CN"/>
        </w:rPr>
      </w:pPr>
      <w:r>
        <w:rPr>
          <w:color w:val="1E1915"/>
          <w:lang w:eastAsia="zh-CN"/>
        </w:rPr>
        <w:t>交互设计包含三个层面。第一，ECharts图表支持悬停提示、地图缩放和项目点击，地图选择会联动题材与色彩。第二，固定导航允许用户跳转到“年画中国、百年流变、图必有意、五色成章、版上生花”等章节，滚动进入时通过IntersectionObserver触发淡入和位移动画。第三，p5.js画布提供下拉框、滑杆、按钮与图片导出。手机端不依赖悬停，控件触控区域不小于44像素；系统检测prefers-reduced-motion，在检测到减少动态效果设置时直接显示内容。</w:t>
      </w:r>
    </w:p>
    <w:p w14:paraId="748DF860" w14:textId="77777777" w:rsidR="00362375" w:rsidRDefault="00000000">
      <w:pPr>
        <w:ind w:firstLine="440"/>
        <w:jc w:val="both"/>
        <w:rPr>
          <w:lang w:eastAsia="zh-CN"/>
        </w:rPr>
      </w:pPr>
      <w:r>
        <w:rPr>
          <w:color w:val="1E1915"/>
          <w:lang w:eastAsia="zh-CN"/>
        </w:rPr>
        <w:t>视觉规范参考暖色编辑式网页的留白、字体分工和内容节奏，但重新建立了木版年画专用设计令牌。页面以宣纸暖白为画布，墨色为正文，朱砂为主强调，藤黄与石绿作为数据辅助色；标题使</w:t>
      </w:r>
      <w:r>
        <w:rPr>
          <w:color w:val="1E1915"/>
          <w:lang w:eastAsia="zh-CN"/>
        </w:rPr>
        <w:lastRenderedPageBreak/>
        <w:t>用宋体类字体，正文与控件使用黑体类字体。卡片只使用细边框、轻微纸张色差和克制圆角，避免霓虹、玻璃拟态和无意义渐变，使传统文化气息与现代数据界面保持平衡。</w:t>
      </w:r>
    </w:p>
    <w:p w14:paraId="057E5EC2" w14:textId="77777777" w:rsidR="00362375" w:rsidRDefault="00000000">
      <w:pPr>
        <w:pStyle w:val="1"/>
        <w:rPr>
          <w:lang w:eastAsia="zh-CN"/>
        </w:rPr>
      </w:pPr>
      <w:r>
        <w:rPr>
          <w:lang w:eastAsia="zh-CN"/>
        </w:rPr>
        <w:t>六、作品实现与文件结构</w:t>
      </w:r>
    </w:p>
    <w:p w14:paraId="5C05F0E5" w14:textId="77777777" w:rsidR="00362375" w:rsidRDefault="00000000">
      <w:pPr>
        <w:ind w:firstLine="440"/>
        <w:jc w:val="both"/>
        <w:rPr>
          <w:lang w:eastAsia="zh-CN"/>
        </w:rPr>
      </w:pPr>
      <w:r>
        <w:t>作品采用纯静态前端架构，不依赖 Vue、React、后端数据库或复杂构建链，便于课程验收和 GitHub Pages 部署。ECharts 与 p5.js 均保存在 vendor 目录，数据以 JSON 和 CSV 保存，地图使用本地中国省级行政区 GeoJSON。作品通过 GitHub Actions 自动发布至在线地址，使用 Microsoft Edge 访问即可完整体验。</w:t>
      </w:r>
    </w:p>
    <w:p w14:paraId="6AF778C6" w14:textId="77777777" w:rsidR="00362375" w:rsidRDefault="00000000">
      <w:pPr>
        <w:pStyle w:val="a0"/>
        <w:spacing w:after="80" w:line="300" w:lineRule="auto"/>
        <w:ind w:left="547" w:hanging="274"/>
        <w:rPr>
          <w:lang w:eastAsia="zh-CN"/>
        </w:rPr>
      </w:pPr>
      <w:r>
        <w:rPr>
          <w:color w:val="1E1915"/>
          <w:sz w:val="21"/>
          <w:lang w:eastAsia="zh-CN"/>
        </w:rPr>
        <w:t>index.html：七个叙事章节、导航、图表容器和生成艺术控制。</w:t>
      </w:r>
    </w:p>
    <w:p w14:paraId="32E1403D" w14:textId="77777777" w:rsidR="00362375" w:rsidRDefault="00000000">
      <w:pPr>
        <w:pStyle w:val="a0"/>
        <w:spacing w:after="80" w:line="300" w:lineRule="auto"/>
        <w:ind w:left="547" w:hanging="274"/>
        <w:rPr>
          <w:lang w:eastAsia="zh-CN"/>
        </w:rPr>
      </w:pPr>
      <w:r>
        <w:rPr>
          <w:color w:val="1E1915"/>
          <w:sz w:val="21"/>
          <w:lang w:eastAsia="zh-CN"/>
        </w:rPr>
        <w:t>styles/：设计令牌、响应式布局、章节配色与减少动画规则。</w:t>
      </w:r>
    </w:p>
    <w:p w14:paraId="066A24D4" w14:textId="77777777" w:rsidR="00362375" w:rsidRDefault="00000000">
      <w:pPr>
        <w:pStyle w:val="a0"/>
        <w:spacing w:after="80" w:line="300" w:lineRule="auto"/>
        <w:ind w:left="547" w:hanging="274"/>
        <w:rPr>
          <w:lang w:eastAsia="zh-CN"/>
        </w:rPr>
      </w:pPr>
      <w:r>
        <w:rPr>
          <w:color w:val="1E1915"/>
          <w:sz w:val="21"/>
          <w:lang w:eastAsia="zh-CN"/>
        </w:rPr>
        <w:t>scripts/app.mjs：数据加载、中国地图、时间轴、题材与色彩图表、筛选联动和滚动叙事。</w:t>
      </w:r>
    </w:p>
    <w:p w14:paraId="31138320" w14:textId="77777777" w:rsidR="00362375" w:rsidRDefault="00000000">
      <w:pPr>
        <w:pStyle w:val="a0"/>
        <w:spacing w:after="80" w:line="300" w:lineRule="auto"/>
        <w:ind w:left="547" w:hanging="274"/>
      </w:pPr>
      <w:r>
        <w:rPr>
          <w:color w:val="1E1915"/>
          <w:sz w:val="21"/>
        </w:rPr>
        <w:t>scripts/art-model.mjs：题材中心符号、流派色板和生成艺术模型。</w:t>
      </w:r>
    </w:p>
    <w:p w14:paraId="549A3F9C" w14:textId="77777777" w:rsidR="00362375" w:rsidRDefault="00000000">
      <w:pPr>
        <w:pStyle w:val="a0"/>
        <w:spacing w:after="80" w:line="300" w:lineRule="auto"/>
        <w:ind w:left="547" w:hanging="274"/>
      </w:pPr>
      <w:r>
        <w:rPr>
          <w:color w:val="1E1915"/>
          <w:sz w:val="21"/>
        </w:rPr>
        <w:t>data/raw 与 data/processed：原始名录、结构化项目数据、地图和审计结果。</w:t>
      </w:r>
    </w:p>
    <w:p w14:paraId="3C872D79" w14:textId="77777777" w:rsidR="00362375" w:rsidRDefault="00000000">
      <w:pPr>
        <w:pStyle w:val="a0"/>
        <w:spacing w:after="80" w:line="300" w:lineRule="auto"/>
        <w:ind w:left="547" w:hanging="274"/>
      </w:pPr>
      <w:r>
        <w:rPr>
          <w:color w:val="1E1915"/>
          <w:sz w:val="21"/>
        </w:rPr>
        <w:t>tools/audit-data.mjs：来源、坐标、题材、颜色与重复项自动审计。</w:t>
      </w:r>
    </w:p>
    <w:p w14:paraId="28E840B8" w14:textId="77777777" w:rsidR="00362375" w:rsidRDefault="00000000">
      <w:pPr>
        <w:pStyle w:val="a0"/>
        <w:spacing w:after="80" w:line="300" w:lineRule="auto"/>
        <w:ind w:left="547" w:hanging="274"/>
      </w:pPr>
      <w:r>
        <w:t>poster/：1080×1920展示海报PNG。</w:t>
      </w:r>
    </w:p>
    <w:p w14:paraId="71078A70" w14:textId="77777777" w:rsidR="00362375" w:rsidRDefault="00000000">
      <w:pPr>
        <w:pStyle w:val="a0"/>
        <w:spacing w:after="80" w:line="300" w:lineRule="auto"/>
        <w:ind w:left="547" w:hanging="274"/>
        <w:rPr>
          <w:lang w:eastAsia="zh-CN"/>
        </w:rPr>
      </w:pPr>
      <w:r>
        <w:rPr>
          <w:lang w:eastAsia="zh-CN"/>
        </w:rPr>
        <w:t>数据清洗过程说明文档：记录原始数据、字段转换规则与审计结果。</w:t>
      </w:r>
    </w:p>
    <w:p w14:paraId="4956E259" w14:textId="77777777" w:rsidR="00362375" w:rsidRDefault="00000000">
      <w:pPr>
        <w:ind w:firstLine="440"/>
        <w:jc w:val="both"/>
        <w:rPr>
          <w:lang w:eastAsia="zh-CN"/>
        </w:rPr>
      </w:pPr>
      <w:r>
        <w:rPr>
          <w:color w:val="1E1915"/>
          <w:lang w:eastAsia="zh-CN"/>
        </w:rPr>
        <w:t>项目已发布至 https://hans200406.github.io/Carved-China/ 。线上验证包括12项数据加载、中国地图渲染、流派筛选、生成画布、手机端横向溢出检查和资源路径检查。GitHub Pages工作流在master分支更新后自动部署，保证提交版本与在线版本保持一致。</w:t>
      </w:r>
    </w:p>
    <w:p w14:paraId="25364D52" w14:textId="77777777" w:rsidR="00362375" w:rsidRDefault="00000000">
      <w:pPr>
        <w:pStyle w:val="1"/>
        <w:rPr>
          <w:lang w:eastAsia="zh-CN"/>
        </w:rPr>
      </w:pPr>
      <w:r>
        <w:rPr>
          <w:lang w:eastAsia="zh-CN"/>
        </w:rPr>
        <w:t>七、总结与反思</w:t>
      </w:r>
    </w:p>
    <w:p w14:paraId="2F41063A" w14:textId="77777777" w:rsidR="00362375" w:rsidRDefault="00000000">
      <w:pPr>
        <w:ind w:firstLine="440"/>
        <w:jc w:val="both"/>
        <w:rPr>
          <w:lang w:eastAsia="zh-CN"/>
        </w:rPr>
      </w:pPr>
      <w:r>
        <w:rPr>
          <w:color w:val="1E1915"/>
          <w:lang w:eastAsia="zh-CN"/>
        </w:rPr>
        <w:t>“版上山河”尝试把中国传统木版年画从静态观赏对象转化为可分析、可交互、可再生成的数字文化体验。模块A以真实名录与权威资料呈现12项首批国家级项目的地域、历史、题材和色彩结构；模块B把莲花、门神、鲤鱼和传统色转化为可控制的生成规则；模块C再通过滚动叙事与联</w:t>
      </w:r>
      <w:r>
        <w:rPr>
          <w:color w:val="1E1915"/>
          <w:lang w:eastAsia="zh-CN"/>
        </w:rPr>
        <w:lastRenderedPageBreak/>
        <w:t>动交互把宏观数据和微观美学连接起来。作品既回应了课程对数据严谨性的要求，也避免直接堆砌照片，强调图形重构与信息传达。</w:t>
      </w:r>
    </w:p>
    <w:p w14:paraId="6C98A4D3" w14:textId="77777777" w:rsidR="00362375" w:rsidRDefault="00000000">
      <w:pPr>
        <w:ind w:firstLine="440"/>
        <w:jc w:val="both"/>
        <w:rPr>
          <w:lang w:eastAsia="zh-CN"/>
        </w:rPr>
      </w:pPr>
      <w:r>
        <w:rPr>
          <w:color w:val="1E1915"/>
          <w:lang w:eastAsia="zh-CN"/>
        </w:rPr>
        <w:t>项目的核心价值在于将“看见传统”和“理解传统”结合。地图与时间轴帮助观众建立全国流派框架，题材和色彩比较揭示共性与差异，生成艺术则让用户通过参数操作体会对称、套色与重复的造型规律。设计过程中最重要的反思是区分事实、编码与推断：名录字段属于官方事实，年代归一属于排序方法，题材与色彩属于设计编码。只有公开这些层次，信息可视化才不会因视觉效果而牺牲准确性。</w:t>
      </w:r>
    </w:p>
    <w:p w14:paraId="36F836FA" w14:textId="77777777" w:rsidR="00362375" w:rsidRDefault="00000000">
      <w:pPr>
        <w:ind w:firstLine="440"/>
        <w:jc w:val="both"/>
        <w:rPr>
          <w:lang w:eastAsia="zh-CN"/>
        </w:rPr>
      </w:pPr>
      <w:r>
        <w:rPr>
          <w:color w:val="1E1915"/>
          <w:lang w:eastAsia="zh-CN"/>
        </w:rPr>
        <w:t>后续可进一步扩展第二批及扩展项目，引入更多博物馆开放图像，对代表作品进行颜色聚类和纹样识别；也可以增加传承人、作坊和传播路线数据，构建更完整的师承与流通网络。当前版本已经完成网页、数据集、生成艺术源文件、在线发布和展览海报，为继续拓展奠定了可复用的数据结构和视觉系统。</w:t>
      </w:r>
    </w:p>
    <w:p w14:paraId="6B61E644" w14:textId="77777777" w:rsidR="00362375" w:rsidRDefault="00000000">
      <w:pPr>
        <w:pStyle w:val="1"/>
      </w:pPr>
      <w:r>
        <w:t>参考资料</w:t>
      </w:r>
    </w:p>
    <w:p w14:paraId="25CBA98E" w14:textId="77777777" w:rsidR="00362375" w:rsidRDefault="00000000">
      <w:pPr>
        <w:pStyle w:val="a0"/>
        <w:spacing w:after="40" w:line="252" w:lineRule="auto"/>
        <w:ind w:left="490" w:hanging="245"/>
      </w:pPr>
      <w:r>
        <w:rPr>
          <w:color w:val="1E1915"/>
          <w:sz w:val="18"/>
        </w:rPr>
        <w:t>中国非物质文化遗产网：国家级非物质文化遗产代表性项目名录，https://www.ihchina.cn/project.html?tid=7。</w:t>
      </w:r>
    </w:p>
    <w:p w14:paraId="113460F7" w14:textId="77777777" w:rsidR="00362375" w:rsidRDefault="00000000">
      <w:pPr>
        <w:pStyle w:val="a0"/>
        <w:spacing w:after="40" w:line="252" w:lineRule="auto"/>
        <w:ind w:left="490" w:hanging="245"/>
        <w:rPr>
          <w:lang w:eastAsia="zh-CN"/>
        </w:rPr>
      </w:pPr>
      <w:r>
        <w:rPr>
          <w:color w:val="1E1915"/>
          <w:sz w:val="18"/>
          <w:lang w:eastAsia="zh-CN"/>
        </w:rPr>
        <w:t>中国非物质文化遗产网：武强、高密扑灰、朱仙镇、滩头、杨家埠、绵竹等项目详情页。</w:t>
      </w:r>
    </w:p>
    <w:p w14:paraId="217895EF" w14:textId="77777777" w:rsidR="00362375" w:rsidRDefault="00000000">
      <w:pPr>
        <w:pStyle w:val="a0"/>
        <w:spacing w:after="40" w:line="252" w:lineRule="auto"/>
        <w:ind w:left="490" w:hanging="245"/>
        <w:rPr>
          <w:lang w:eastAsia="zh-CN"/>
        </w:rPr>
      </w:pPr>
      <w:r>
        <w:rPr>
          <w:color w:val="1E1915"/>
          <w:sz w:val="18"/>
          <w:lang w:eastAsia="zh-CN"/>
        </w:rPr>
        <w:t>福建省人民政府：漳州木版年画相关资料。</w:t>
      </w:r>
    </w:p>
    <w:p w14:paraId="2A1CC020" w14:textId="77777777" w:rsidR="00362375" w:rsidRDefault="00000000">
      <w:pPr>
        <w:pStyle w:val="a0"/>
        <w:spacing w:after="40" w:line="252" w:lineRule="auto"/>
        <w:ind w:left="490" w:hanging="245"/>
        <w:rPr>
          <w:lang w:eastAsia="zh-CN"/>
        </w:rPr>
      </w:pPr>
      <w:r>
        <w:rPr>
          <w:color w:val="1E1915"/>
          <w:sz w:val="18"/>
          <w:lang w:eastAsia="zh-CN"/>
        </w:rPr>
        <w:t>重庆市文化和旅游发展委员会：梁平木版年画资料。</w:t>
      </w:r>
    </w:p>
    <w:p w14:paraId="2C035E59" w14:textId="77777777" w:rsidR="00362375" w:rsidRDefault="00000000">
      <w:pPr>
        <w:pStyle w:val="a0"/>
        <w:spacing w:after="40" w:line="252" w:lineRule="auto"/>
        <w:ind w:left="490" w:hanging="245"/>
        <w:rPr>
          <w:lang w:eastAsia="zh-CN"/>
        </w:rPr>
      </w:pPr>
      <w:r>
        <w:rPr>
          <w:color w:val="1E1915"/>
          <w:sz w:val="18"/>
          <w:lang w:eastAsia="zh-CN"/>
        </w:rPr>
        <w:t>宝鸡市人民政府：凤翔木版年画资料。</w:t>
      </w:r>
    </w:p>
    <w:p w14:paraId="18474431" w14:textId="77777777" w:rsidR="00362375" w:rsidRDefault="00000000">
      <w:pPr>
        <w:pStyle w:val="a0"/>
        <w:spacing w:after="40" w:line="252" w:lineRule="auto"/>
        <w:ind w:left="490" w:hanging="245"/>
        <w:rPr>
          <w:lang w:eastAsia="zh-CN"/>
        </w:rPr>
      </w:pPr>
      <w:r>
        <w:rPr>
          <w:color w:val="1E1915"/>
          <w:sz w:val="18"/>
          <w:lang w:eastAsia="zh-CN"/>
        </w:rPr>
        <w:t>广东省文化和旅游厅、中国非遗网：佛山木版年画工艺与传承资料。</w:t>
      </w:r>
    </w:p>
    <w:p w14:paraId="010FC6B3" w14:textId="77777777" w:rsidR="00362375" w:rsidRDefault="00000000">
      <w:pPr>
        <w:pStyle w:val="a0"/>
        <w:spacing w:after="40" w:line="252" w:lineRule="auto"/>
        <w:ind w:left="490" w:hanging="245"/>
      </w:pPr>
      <w:r>
        <w:rPr>
          <w:color w:val="1E1915"/>
          <w:sz w:val="18"/>
        </w:rPr>
        <w:t>DataV GeoAtlas：中华人民共和国省级行政区边界GeoJSON。</w:t>
      </w:r>
    </w:p>
    <w:sectPr w:rsidR="00362375" w:rsidSect="00034616">
      <w:headerReference w:type="default" r:id="rId12"/>
      <w:footerReference w:type="default" r:id="rId13"/>
      <w:pgSz w:w="12240" w:h="15840"/>
      <w:pgMar w:top="1152" w:right="1296"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45CB3" w14:textId="77777777" w:rsidR="00BF759F" w:rsidRDefault="00BF759F">
      <w:pPr>
        <w:spacing w:after="0" w:line="240" w:lineRule="auto"/>
      </w:pPr>
      <w:r>
        <w:separator/>
      </w:r>
    </w:p>
  </w:endnote>
  <w:endnote w:type="continuationSeparator" w:id="0">
    <w:p w14:paraId="1F243602" w14:textId="77777777" w:rsidR="00BF759F" w:rsidRDefault="00BF7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0E22A" w14:textId="77777777" w:rsidR="00362375" w:rsidRDefault="00000000">
    <w:pPr>
      <w:jc w:val="right"/>
      <w:rPr>
        <w:lang w:eastAsia="zh-CN"/>
      </w:rPr>
    </w:pPr>
    <w:r>
      <w:rPr>
        <w:color w:val="5F5047"/>
        <w:sz w:val="18"/>
        <w:lang w:eastAsia="zh-CN"/>
      </w:rPr>
      <w:t xml:space="preserve">版上山河：中国传统木版年画多维信息可视化设计  ·  第 </w:t>
    </w:r>
    <w:r>
      <w:rPr>
        <w:color w:val="5F5047"/>
        <w:sz w:val="18"/>
      </w:rPr>
      <w:fldChar w:fldCharType="begin"/>
    </w:r>
    <w:r>
      <w:rPr>
        <w:color w:val="5F5047"/>
        <w:sz w:val="18"/>
        <w:lang w:eastAsia="zh-CN"/>
      </w:rPr>
      <w:instrText xml:space="preserve"> PAGE </w:instrText>
    </w:r>
    <w:r w:rsidR="00F0045D">
      <w:rPr>
        <w:color w:val="5F5047"/>
        <w:sz w:val="18"/>
      </w:rPr>
      <w:fldChar w:fldCharType="separate"/>
    </w:r>
    <w:r w:rsidR="00F0045D">
      <w:rPr>
        <w:noProof/>
        <w:color w:val="5F5047"/>
        <w:sz w:val="18"/>
        <w:lang w:eastAsia="zh-CN"/>
      </w:rPr>
      <w:t>1</w:t>
    </w:r>
    <w:r>
      <w:rPr>
        <w:color w:val="5F5047"/>
        <w:sz w:val="18"/>
      </w:rPr>
      <w:fldChar w:fldCharType="end"/>
    </w:r>
    <w:r>
      <w:rPr>
        <w:color w:val="5F5047"/>
        <w:sz w:val="18"/>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D98A6" w14:textId="77777777" w:rsidR="00BF759F" w:rsidRDefault="00BF759F">
      <w:pPr>
        <w:spacing w:after="0" w:line="240" w:lineRule="auto"/>
      </w:pPr>
      <w:r>
        <w:separator/>
      </w:r>
    </w:p>
  </w:footnote>
  <w:footnote w:type="continuationSeparator" w:id="0">
    <w:p w14:paraId="0E904827" w14:textId="77777777" w:rsidR="00BF759F" w:rsidRDefault="00BF7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BBCD3" w14:textId="77777777" w:rsidR="00362375" w:rsidRDefault="00000000">
    <w:pPr>
      <w:pStyle w:val="a5"/>
      <w:jc w:val="right"/>
    </w:pPr>
    <w:r>
      <w:rPr>
        <w:color w:val="5F5047"/>
        <w:sz w:val="17"/>
      </w:rPr>
      <w:t>《信息可视化》课程设计说明书  |  Carved China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1271207">
    <w:abstractNumId w:val="8"/>
  </w:num>
  <w:num w:numId="2" w16cid:durableId="678891849">
    <w:abstractNumId w:val="6"/>
  </w:num>
  <w:num w:numId="3" w16cid:durableId="1749762388">
    <w:abstractNumId w:val="5"/>
  </w:num>
  <w:num w:numId="4" w16cid:durableId="1320500825">
    <w:abstractNumId w:val="4"/>
  </w:num>
  <w:num w:numId="5" w16cid:durableId="2020235234">
    <w:abstractNumId w:val="7"/>
  </w:num>
  <w:num w:numId="6" w16cid:durableId="1648632933">
    <w:abstractNumId w:val="3"/>
  </w:num>
  <w:num w:numId="7" w16cid:durableId="430275753">
    <w:abstractNumId w:val="2"/>
  </w:num>
  <w:num w:numId="8" w16cid:durableId="1643079769">
    <w:abstractNumId w:val="1"/>
  </w:num>
  <w:num w:numId="9" w16cid:durableId="463541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375"/>
    <w:rsid w:val="00AA1D8D"/>
    <w:rsid w:val="00B47730"/>
    <w:rsid w:val="00BF759F"/>
    <w:rsid w:val="00CB0664"/>
    <w:rsid w:val="00F004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2BE21"/>
  <w14:defaultImageDpi w14:val="300"/>
  <w15:docId w15:val="{0F04FA11-055F-4A57-A36B-DDEF53CA0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60" w:lineRule="auto"/>
    </w:pPr>
    <w:rPr>
      <w:rFonts w:ascii="微软雅黑" w:eastAsia="微软雅黑" w:hAnsi="微软雅黑"/>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B6342B"/>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B6342B"/>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版上山河：中国传统木版年画多维信息可视化设计说明书</dc:title>
  <dc:subject>《信息可视化》课程设计</dc:subject>
  <dc:creator/>
  <cp:keywords>木版年画; 信息可视化; ECharts; p5.js; 非物质文化遗产</cp:keywords>
  <dc:description>generated by python-docx</dc:description>
  <cp:lastModifiedBy>shaohan cai</cp:lastModifiedBy>
  <cp:revision>3</cp:revision>
  <dcterms:created xsi:type="dcterms:W3CDTF">2013-12-23T23:15:00Z</dcterms:created>
  <dcterms:modified xsi:type="dcterms:W3CDTF">2026-07-06T07:27:00Z</dcterms:modified>
  <cp:category/>
</cp:coreProperties>
</file>