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B21F2D"/>
          <w:sz w:val="40"/>
        </w:rPr>
        <w:t>中国剪纸非遗数据来源与清洗过程说明</w:t>
      </w:r>
    </w:p>
    <w:p>
      <w:pPr>
        <w:jc w:val="center"/>
      </w:pPr>
      <w:r>
        <w:rPr>
          <w:rFonts w:ascii="Calibri" w:hAnsi="Calibri" w:eastAsia="Microsoft YaHei"/>
          <w:b/>
          <w:color w:val="755F55"/>
          <w:sz w:val="24"/>
        </w:rPr>
        <w:t>纸上生花：中国剪纸非遗多维信息可视化设计</w:t>
      </w:r>
    </w:p>
    <w:p>
      <w:pPr>
        <w:pStyle w:val="Heading1"/>
      </w:pPr>
      <w:r>
        <w:t>一、文件说明</w:t>
      </w:r>
    </w:p>
    <w:p>
      <w:pPr>
        <w:jc w:val="both"/>
      </w:pPr>
      <w:r>
        <w:rPr>
          <w:rFonts w:ascii="Calibri" w:hAnsi="Calibri" w:eastAsia="Microsoft YaHei"/>
          <w:sz w:val="22"/>
        </w:rPr>
        <w:t>本说明用于配合课程设计提交中的“原始数据集及清洗过程说明”。项目数据围绕中国剪纸类国家级非物质文化遗产代表性项目整理，共形成54条记录，并分别保留原始整理表、清洗后数据表和前端使用的数据文件。</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spacing w:after="40"/>
            </w:pPr>
            <w:r>
              <w:rPr>
                <w:rFonts w:ascii="Calibri" w:hAnsi="Calibri" w:eastAsia="Microsoft YaHei"/>
                <w:sz w:val="19"/>
              </w:rPr>
              <w:t>文件名</w:t>
            </w:r>
          </w:p>
        </w:tc>
        <w:tc>
          <w:tcPr>
            <w:tcW w:type="dxa" w:w="3216"/>
            <w:vAlign w:val="center"/>
          </w:tcPr>
          <w:p>
            <w:pPr>
              <w:spacing w:after="40"/>
            </w:pPr>
            <w:r>
              <w:rPr>
                <w:rFonts w:ascii="Calibri" w:hAnsi="Calibri" w:eastAsia="Microsoft YaHei"/>
                <w:sz w:val="19"/>
              </w:rPr>
              <w:t>类型</w:t>
            </w:r>
          </w:p>
        </w:tc>
        <w:tc>
          <w:tcPr>
            <w:tcW w:type="dxa" w:w="3216"/>
            <w:vAlign w:val="center"/>
          </w:tcPr>
          <w:p>
            <w:pPr>
              <w:spacing w:after="40"/>
            </w:pPr>
            <w:r>
              <w:rPr>
                <w:rFonts w:ascii="Calibri" w:hAnsi="Calibri" w:eastAsia="Microsoft YaHei"/>
                <w:sz w:val="19"/>
              </w:rPr>
              <w:t>用途</w:t>
            </w:r>
          </w:p>
        </w:tc>
      </w:tr>
      <w:tr>
        <w:tc>
          <w:tcPr>
            <w:tcW w:type="dxa" w:w="3216"/>
            <w:vAlign w:val="center"/>
          </w:tcPr>
          <w:p>
            <w:pPr>
              <w:spacing w:after="40"/>
            </w:pPr>
            <w:r>
              <w:rPr>
                <w:rFonts w:ascii="Calibri" w:hAnsi="Calibri" w:eastAsia="Microsoft YaHei"/>
                <w:sz w:val="19"/>
              </w:rPr>
              <w:t>raw_heritage_papercut_projects.csv</w:t>
            </w:r>
          </w:p>
        </w:tc>
        <w:tc>
          <w:tcPr>
            <w:tcW w:type="dxa" w:w="3216"/>
            <w:vAlign w:val="center"/>
          </w:tcPr>
          <w:p>
            <w:pPr>
              <w:spacing w:after="40"/>
            </w:pPr>
            <w:r>
              <w:rPr>
                <w:rFonts w:ascii="Calibri" w:hAnsi="Calibri" w:eastAsia="Microsoft YaHei"/>
                <w:sz w:val="19"/>
              </w:rPr>
              <w:t>原始整理表/来源留痕表</w:t>
            </w:r>
          </w:p>
        </w:tc>
        <w:tc>
          <w:tcPr>
            <w:tcW w:type="dxa" w:w="3216"/>
            <w:vAlign w:val="center"/>
          </w:tcPr>
          <w:p>
            <w:pPr>
              <w:spacing w:after="40"/>
            </w:pPr>
            <w:r>
              <w:rPr>
                <w:rFonts w:ascii="Calibri" w:hAnsi="Calibri" w:eastAsia="Microsoft YaHei"/>
                <w:sz w:val="19"/>
              </w:rPr>
              <w:t>保留公开名录核心字段，并记录来源说明、清洗动作、坐标处理和关键词处理说明。</w:t>
            </w:r>
          </w:p>
        </w:tc>
      </w:tr>
      <w:tr>
        <w:tc>
          <w:tcPr>
            <w:tcW w:type="dxa" w:w="3216"/>
            <w:vAlign w:val="center"/>
          </w:tcPr>
          <w:p>
            <w:pPr>
              <w:spacing w:after="40"/>
            </w:pPr>
            <w:r>
              <w:rPr>
                <w:rFonts w:ascii="Calibri" w:hAnsi="Calibri" w:eastAsia="Microsoft YaHei"/>
                <w:sz w:val="19"/>
              </w:rPr>
              <w:t>heritage_papercut_projects.csv</w:t>
            </w:r>
          </w:p>
        </w:tc>
        <w:tc>
          <w:tcPr>
            <w:tcW w:type="dxa" w:w="3216"/>
            <w:vAlign w:val="center"/>
          </w:tcPr>
          <w:p>
            <w:pPr>
              <w:spacing w:after="40"/>
            </w:pPr>
            <w:r>
              <w:rPr>
                <w:rFonts w:ascii="Calibri" w:hAnsi="Calibri" w:eastAsia="Microsoft YaHei"/>
                <w:sz w:val="19"/>
              </w:rPr>
              <w:t>清洗后数据集</w:t>
            </w:r>
          </w:p>
        </w:tc>
        <w:tc>
          <w:tcPr>
            <w:tcW w:type="dxa" w:w="3216"/>
            <w:vAlign w:val="center"/>
          </w:tcPr>
          <w:p>
            <w:pPr>
              <w:spacing w:after="40"/>
            </w:pPr>
            <w:r>
              <w:rPr>
                <w:rFonts w:ascii="Calibri" w:hAnsi="Calibri" w:eastAsia="Microsoft YaHei"/>
                <w:sz w:val="19"/>
              </w:rPr>
              <w:t>用于模块A图表分析和模块B生成艺术的数据基础。</w:t>
            </w:r>
          </w:p>
        </w:tc>
      </w:tr>
      <w:tr>
        <w:tc>
          <w:tcPr>
            <w:tcW w:type="dxa" w:w="3216"/>
            <w:vAlign w:val="center"/>
          </w:tcPr>
          <w:p>
            <w:pPr>
              <w:spacing w:after="40"/>
            </w:pPr>
            <w:r>
              <w:rPr>
                <w:rFonts w:ascii="Calibri" w:hAnsi="Calibri" w:eastAsia="Microsoft YaHei"/>
                <w:sz w:val="19"/>
              </w:rPr>
              <w:t>papercutData.js</w:t>
            </w:r>
          </w:p>
        </w:tc>
        <w:tc>
          <w:tcPr>
            <w:tcW w:type="dxa" w:w="3216"/>
            <w:vAlign w:val="center"/>
          </w:tcPr>
          <w:p>
            <w:pPr>
              <w:spacing w:after="40"/>
            </w:pPr>
            <w:r>
              <w:rPr>
                <w:rFonts w:ascii="Calibri" w:hAnsi="Calibri" w:eastAsia="Microsoft YaHei"/>
                <w:sz w:val="19"/>
              </w:rPr>
              <w:t>前端数据文件</w:t>
            </w:r>
          </w:p>
        </w:tc>
        <w:tc>
          <w:tcPr>
            <w:tcW w:type="dxa" w:w="3216"/>
            <w:vAlign w:val="center"/>
          </w:tcPr>
          <w:p>
            <w:pPr>
              <w:spacing w:after="40"/>
            </w:pPr>
            <w:r>
              <w:rPr>
                <w:rFonts w:ascii="Calibri" w:hAnsi="Calibri" w:eastAsia="Microsoft YaHei"/>
                <w:sz w:val="19"/>
              </w:rPr>
              <w:t>由清洗后CSV转换而来，供网页直接读取。</w:t>
            </w:r>
          </w:p>
        </w:tc>
      </w:tr>
    </w:tbl>
    <w:p>
      <w:pPr>
        <w:pStyle w:val="Heading1"/>
      </w:pPr>
      <w:r>
        <w:t>二、数据来源</w:t>
      </w:r>
    </w:p>
    <w:p>
      <w:pPr>
        <w:pStyle w:val="ListBullet"/>
      </w:pPr>
      <w:r>
        <w:rPr>
          <w:rFonts w:ascii="Calibri" w:hAnsi="Calibri" w:eastAsia="Microsoft YaHei"/>
          <w:sz w:val="21"/>
        </w:rPr>
        <w:t>中国非物质文化遗产网国家级非物质文化遗产代表性项目名录公开资料：用于整理剪纸类项目名称、申报地区、批次和类别。</w:t>
      </w:r>
    </w:p>
    <w:p>
      <w:pPr>
        <w:pStyle w:val="ListBullet"/>
      </w:pPr>
      <w:r>
        <w:rPr>
          <w:rFonts w:ascii="Calibri" w:hAnsi="Calibri" w:eastAsia="Microsoft YaHei"/>
          <w:sz w:val="21"/>
        </w:rPr>
        <w:t>UNESCO Intangible Cultural Heritage 中关于 Chinese paper-cut 的项目介绍：用于确认中国剪纸的国际代表性背景。</w:t>
      </w:r>
    </w:p>
    <w:p>
      <w:pPr>
        <w:pStyle w:val="ListBullet"/>
      </w:pPr>
      <w:r>
        <w:rPr>
          <w:rFonts w:ascii="Calibri" w:hAnsi="Calibri" w:eastAsia="Microsoft YaHei"/>
          <w:sz w:val="21"/>
        </w:rPr>
        <w:t>公开行政区与地理信息资料：用于按申报地或代表性传承地补充近似经纬度，服务网页空间可视化表达。</w:t>
      </w:r>
    </w:p>
    <w:p>
      <w:pPr>
        <w:pStyle w:val="Heading1"/>
      </w:pPr>
      <w:r>
        <w:t>三、字段说明</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spacing w:after="40"/>
            </w:pPr>
            <w:r>
              <w:rPr>
                <w:rFonts w:ascii="Calibri" w:hAnsi="Calibri" w:eastAsia="Microsoft YaHei"/>
                <w:sz w:val="19"/>
              </w:rPr>
              <w:t>字段</w:t>
            </w:r>
          </w:p>
        </w:tc>
        <w:tc>
          <w:tcPr>
            <w:tcW w:type="dxa" w:w="3216"/>
            <w:vAlign w:val="center"/>
          </w:tcPr>
          <w:p>
            <w:pPr>
              <w:spacing w:after="40"/>
            </w:pPr>
            <w:r>
              <w:rPr>
                <w:rFonts w:ascii="Calibri" w:hAnsi="Calibri" w:eastAsia="Microsoft YaHei"/>
                <w:sz w:val="19"/>
              </w:rPr>
              <w:t>含义</w:t>
            </w:r>
          </w:p>
        </w:tc>
        <w:tc>
          <w:tcPr>
            <w:tcW w:type="dxa" w:w="3216"/>
            <w:vAlign w:val="center"/>
          </w:tcPr>
          <w:p>
            <w:pPr>
              <w:spacing w:after="40"/>
            </w:pPr>
            <w:r>
              <w:rPr>
                <w:rFonts w:ascii="Calibri" w:hAnsi="Calibri" w:eastAsia="Microsoft YaHei"/>
                <w:sz w:val="19"/>
              </w:rPr>
              <w:t>使用位置</w:t>
            </w:r>
          </w:p>
        </w:tc>
      </w:tr>
      <w:tr>
        <w:tc>
          <w:tcPr>
            <w:tcW w:type="dxa" w:w="3216"/>
            <w:vAlign w:val="center"/>
          </w:tcPr>
          <w:p>
            <w:pPr>
              <w:spacing w:after="40"/>
            </w:pPr>
            <w:r>
              <w:rPr>
                <w:rFonts w:ascii="Calibri" w:hAnsi="Calibri" w:eastAsia="Microsoft YaHei"/>
                <w:sz w:val="19"/>
              </w:rPr>
              <w:t>项目名称</w:t>
            </w:r>
          </w:p>
        </w:tc>
        <w:tc>
          <w:tcPr>
            <w:tcW w:type="dxa" w:w="3216"/>
            <w:vAlign w:val="center"/>
          </w:tcPr>
          <w:p>
            <w:pPr>
              <w:spacing w:after="40"/>
            </w:pPr>
            <w:r>
              <w:rPr>
                <w:rFonts w:ascii="Calibri" w:hAnsi="Calibri" w:eastAsia="Microsoft YaHei"/>
                <w:sz w:val="19"/>
              </w:rPr>
              <w:t>剪纸类非遗项目名称</w:t>
            </w:r>
          </w:p>
        </w:tc>
        <w:tc>
          <w:tcPr>
            <w:tcW w:type="dxa" w:w="3216"/>
            <w:vAlign w:val="center"/>
          </w:tcPr>
          <w:p>
            <w:pPr>
              <w:spacing w:after="40"/>
            </w:pPr>
            <w:r>
              <w:rPr>
                <w:rFonts w:ascii="Calibri" w:hAnsi="Calibri" w:eastAsia="Microsoft YaHei"/>
                <w:sz w:val="19"/>
              </w:rPr>
              <w:t>项目识别与标题展示</w:t>
            </w:r>
          </w:p>
        </w:tc>
      </w:tr>
      <w:tr>
        <w:tc>
          <w:tcPr>
            <w:tcW w:type="dxa" w:w="3216"/>
            <w:vAlign w:val="center"/>
          </w:tcPr>
          <w:p>
            <w:pPr>
              <w:spacing w:after="40"/>
            </w:pPr>
            <w:r>
              <w:rPr>
                <w:rFonts w:ascii="Calibri" w:hAnsi="Calibri" w:eastAsia="Microsoft YaHei"/>
                <w:sz w:val="19"/>
              </w:rPr>
              <w:t>省级地区</w:t>
            </w:r>
          </w:p>
        </w:tc>
        <w:tc>
          <w:tcPr>
            <w:tcW w:type="dxa" w:w="3216"/>
            <w:vAlign w:val="center"/>
          </w:tcPr>
          <w:p>
            <w:pPr>
              <w:spacing w:after="40"/>
            </w:pPr>
            <w:r>
              <w:rPr>
                <w:rFonts w:ascii="Calibri" w:hAnsi="Calibri" w:eastAsia="Microsoft YaHei"/>
                <w:sz w:val="19"/>
              </w:rPr>
              <w:t>项目所在省、自治区或直辖市</w:t>
            </w:r>
          </w:p>
        </w:tc>
        <w:tc>
          <w:tcPr>
            <w:tcW w:type="dxa" w:w="3216"/>
            <w:vAlign w:val="center"/>
          </w:tcPr>
          <w:p>
            <w:pPr>
              <w:spacing w:after="40"/>
            </w:pPr>
            <w:r>
              <w:rPr>
                <w:rFonts w:ascii="Calibri" w:hAnsi="Calibri" w:eastAsia="Microsoft YaHei"/>
                <w:sz w:val="19"/>
              </w:rPr>
              <w:t>省份分布统计</w:t>
            </w:r>
          </w:p>
        </w:tc>
      </w:tr>
      <w:tr>
        <w:tc>
          <w:tcPr>
            <w:tcW w:type="dxa" w:w="3216"/>
            <w:vAlign w:val="center"/>
          </w:tcPr>
          <w:p>
            <w:pPr>
              <w:spacing w:after="40"/>
            </w:pPr>
            <w:r>
              <w:rPr>
                <w:rFonts w:ascii="Calibri" w:hAnsi="Calibri" w:eastAsia="Microsoft YaHei"/>
                <w:sz w:val="19"/>
              </w:rPr>
              <w:t>地级/县级地区</w:t>
            </w:r>
          </w:p>
        </w:tc>
        <w:tc>
          <w:tcPr>
            <w:tcW w:type="dxa" w:w="3216"/>
            <w:vAlign w:val="center"/>
          </w:tcPr>
          <w:p>
            <w:pPr>
              <w:spacing w:after="40"/>
            </w:pPr>
            <w:r>
              <w:rPr>
                <w:rFonts w:ascii="Calibri" w:hAnsi="Calibri" w:eastAsia="Microsoft YaHei"/>
                <w:sz w:val="19"/>
              </w:rPr>
              <w:t>项目申报或代表性传承地区</w:t>
            </w:r>
          </w:p>
        </w:tc>
        <w:tc>
          <w:tcPr>
            <w:tcW w:type="dxa" w:w="3216"/>
            <w:vAlign w:val="center"/>
          </w:tcPr>
          <w:p>
            <w:pPr>
              <w:spacing w:after="40"/>
            </w:pPr>
            <w:r>
              <w:rPr>
                <w:rFonts w:ascii="Calibri" w:hAnsi="Calibri" w:eastAsia="Microsoft YaHei"/>
                <w:sz w:val="19"/>
              </w:rPr>
              <w:t>原始来源留痕与地区说明</w:t>
            </w:r>
          </w:p>
        </w:tc>
      </w:tr>
      <w:tr>
        <w:tc>
          <w:tcPr>
            <w:tcW w:type="dxa" w:w="3216"/>
            <w:vAlign w:val="center"/>
          </w:tcPr>
          <w:p>
            <w:pPr>
              <w:spacing w:after="40"/>
            </w:pPr>
            <w:r>
              <w:rPr>
                <w:rFonts w:ascii="Calibri" w:hAnsi="Calibri" w:eastAsia="Microsoft YaHei"/>
                <w:sz w:val="19"/>
              </w:rPr>
              <w:t>批次</w:t>
            </w:r>
          </w:p>
        </w:tc>
        <w:tc>
          <w:tcPr>
            <w:tcW w:type="dxa" w:w="3216"/>
            <w:vAlign w:val="center"/>
          </w:tcPr>
          <w:p>
            <w:pPr>
              <w:spacing w:after="40"/>
            </w:pPr>
            <w:r>
              <w:rPr>
                <w:rFonts w:ascii="Calibri" w:hAnsi="Calibri" w:eastAsia="Microsoft YaHei"/>
                <w:sz w:val="19"/>
              </w:rPr>
              <w:t>进入国家级非遗名录或扩展名录的批次</w:t>
            </w:r>
          </w:p>
        </w:tc>
        <w:tc>
          <w:tcPr>
            <w:tcW w:type="dxa" w:w="3216"/>
            <w:vAlign w:val="center"/>
          </w:tcPr>
          <w:p>
            <w:pPr>
              <w:spacing w:after="40"/>
            </w:pPr>
            <w:r>
              <w:rPr>
                <w:rFonts w:ascii="Calibri" w:hAnsi="Calibri" w:eastAsia="Microsoft YaHei"/>
                <w:sz w:val="19"/>
              </w:rPr>
              <w:t>批次结构环形图</w:t>
            </w:r>
          </w:p>
        </w:tc>
      </w:tr>
      <w:tr>
        <w:tc>
          <w:tcPr>
            <w:tcW w:type="dxa" w:w="3216"/>
            <w:vAlign w:val="center"/>
          </w:tcPr>
          <w:p>
            <w:pPr>
              <w:spacing w:after="40"/>
            </w:pPr>
            <w:r>
              <w:rPr>
                <w:rFonts w:ascii="Calibri" w:hAnsi="Calibri" w:eastAsia="Microsoft YaHei"/>
                <w:sz w:val="19"/>
              </w:rPr>
              <w:t>类别</w:t>
            </w:r>
          </w:p>
        </w:tc>
        <w:tc>
          <w:tcPr>
            <w:tcW w:type="dxa" w:w="3216"/>
            <w:vAlign w:val="center"/>
          </w:tcPr>
          <w:p>
            <w:pPr>
              <w:spacing w:after="40"/>
            </w:pPr>
            <w:r>
              <w:rPr>
                <w:rFonts w:ascii="Calibri" w:hAnsi="Calibri" w:eastAsia="Microsoft YaHei"/>
                <w:sz w:val="19"/>
              </w:rPr>
              <w:t>统一为传统美术</w:t>
            </w:r>
          </w:p>
        </w:tc>
        <w:tc>
          <w:tcPr>
            <w:tcW w:type="dxa" w:w="3216"/>
            <w:vAlign w:val="center"/>
          </w:tcPr>
          <w:p>
            <w:pPr>
              <w:spacing w:after="40"/>
            </w:pPr>
            <w:r>
              <w:rPr>
                <w:rFonts w:ascii="Calibri" w:hAnsi="Calibri" w:eastAsia="Microsoft YaHei"/>
                <w:sz w:val="19"/>
              </w:rPr>
              <w:t>数据筛选依据</w:t>
            </w:r>
          </w:p>
        </w:tc>
      </w:tr>
      <w:tr>
        <w:tc>
          <w:tcPr>
            <w:tcW w:type="dxa" w:w="3216"/>
            <w:vAlign w:val="center"/>
          </w:tcPr>
          <w:p>
            <w:pPr>
              <w:spacing w:after="40"/>
            </w:pPr>
            <w:r>
              <w:rPr>
                <w:rFonts w:ascii="Calibri" w:hAnsi="Calibri" w:eastAsia="Microsoft YaHei"/>
                <w:sz w:val="19"/>
              </w:rPr>
              <w:t>经度/纬度</w:t>
            </w:r>
          </w:p>
        </w:tc>
        <w:tc>
          <w:tcPr>
            <w:tcW w:type="dxa" w:w="3216"/>
            <w:vAlign w:val="center"/>
          </w:tcPr>
          <w:p>
            <w:pPr>
              <w:spacing w:after="40"/>
            </w:pPr>
            <w:r>
              <w:rPr>
                <w:rFonts w:ascii="Calibri" w:hAnsi="Calibri" w:eastAsia="Microsoft YaHei"/>
                <w:sz w:val="19"/>
              </w:rPr>
              <w:t>申报地或传承地近似坐标</w:t>
            </w:r>
          </w:p>
        </w:tc>
        <w:tc>
          <w:tcPr>
            <w:tcW w:type="dxa" w:w="3216"/>
            <w:vAlign w:val="center"/>
          </w:tcPr>
          <w:p>
            <w:pPr>
              <w:spacing w:after="40"/>
            </w:pPr>
            <w:r>
              <w:rPr>
                <w:rFonts w:ascii="Calibri" w:hAnsi="Calibri" w:eastAsia="Microsoft YaHei"/>
                <w:sz w:val="19"/>
              </w:rPr>
              <w:t>地图或空间可视化备用字段</w:t>
            </w:r>
          </w:p>
        </w:tc>
      </w:tr>
      <w:tr>
        <w:tc>
          <w:tcPr>
            <w:tcW w:type="dxa" w:w="3216"/>
            <w:vAlign w:val="center"/>
          </w:tcPr>
          <w:p>
            <w:pPr>
              <w:spacing w:after="40"/>
            </w:pPr>
            <w:r>
              <w:rPr>
                <w:rFonts w:ascii="Calibri" w:hAnsi="Calibri" w:eastAsia="Microsoft YaHei"/>
                <w:sz w:val="19"/>
              </w:rPr>
              <w:t>视觉关键词</w:t>
            </w:r>
          </w:p>
        </w:tc>
        <w:tc>
          <w:tcPr>
            <w:tcW w:type="dxa" w:w="3216"/>
            <w:vAlign w:val="center"/>
          </w:tcPr>
          <w:p>
            <w:pPr>
              <w:spacing w:after="40"/>
            </w:pPr>
            <w:r>
              <w:rPr>
                <w:rFonts w:ascii="Calibri" w:hAnsi="Calibri" w:eastAsia="Microsoft YaHei"/>
                <w:sz w:val="19"/>
              </w:rPr>
              <w:t>从地域、民族、纹样和工艺特征提炼的图形线索</w:t>
            </w:r>
          </w:p>
        </w:tc>
        <w:tc>
          <w:tcPr>
            <w:tcW w:type="dxa" w:w="3216"/>
            <w:vAlign w:val="center"/>
          </w:tcPr>
          <w:p>
            <w:pPr>
              <w:spacing w:after="40"/>
            </w:pPr>
            <w:r>
              <w:rPr>
                <w:rFonts w:ascii="Calibri" w:hAnsi="Calibri" w:eastAsia="Microsoft YaHei"/>
                <w:sz w:val="19"/>
              </w:rPr>
              <w:t>关键词频次统计与p5.js生成艺术</w:t>
            </w:r>
          </w:p>
        </w:tc>
      </w:tr>
    </w:tbl>
    <w:p>
      <w:pPr>
        <w:pStyle w:val="Heading1"/>
      </w:pPr>
      <w:r>
        <w:t>四、清洗过程</w:t>
      </w:r>
    </w:p>
    <w:p>
      <w:pPr>
        <w:pStyle w:val="ListNumber"/>
      </w:pPr>
      <w:r>
        <w:rPr>
          <w:rFonts w:ascii="Calibri" w:hAnsi="Calibri" w:eastAsia="Microsoft YaHei"/>
          <w:sz w:val="21"/>
        </w:rPr>
        <w:t>从公开名录中筛选名称或项目说明中含“剪纸、刻纸、凿花、过门笺”等关键词的传统美术类项目。</w:t>
      </w:r>
    </w:p>
    <w:p>
      <w:pPr>
        <w:pStyle w:val="ListNumber"/>
      </w:pPr>
      <w:r>
        <w:rPr>
          <w:rFonts w:ascii="Calibri" w:hAnsi="Calibri" w:eastAsia="Microsoft YaHei"/>
          <w:sz w:val="21"/>
        </w:rPr>
        <w:t>将申报地区拆分为省级地区与地级/县级地区，便于后续按省份统计和展示。</w:t>
      </w:r>
    </w:p>
    <w:p>
      <w:pPr>
        <w:pStyle w:val="ListNumber"/>
      </w:pPr>
      <w:r>
        <w:rPr>
          <w:rFonts w:ascii="Calibri" w:hAnsi="Calibri" w:eastAsia="Microsoft YaHei"/>
          <w:sz w:val="21"/>
        </w:rPr>
        <w:t>将跨地区或综合类项目进行合并处理，例如保留其主要代表性地区和综合项目名称，避免重复计数。</w:t>
      </w:r>
    </w:p>
    <w:p>
      <w:pPr>
        <w:pStyle w:val="ListNumber"/>
      </w:pPr>
      <w:r>
        <w:rPr>
          <w:rFonts w:ascii="Calibri" w:hAnsi="Calibri" w:eastAsia="Microsoft YaHei"/>
          <w:sz w:val="21"/>
        </w:rPr>
        <w:t>统一批次命名为“第一批、第二批扩展、第三批扩展、第四批扩展、第五批扩展”。</w:t>
      </w:r>
    </w:p>
    <w:p>
      <w:pPr>
        <w:pStyle w:val="ListNumber"/>
      </w:pPr>
      <w:r>
        <w:rPr>
          <w:rFonts w:ascii="Calibri" w:hAnsi="Calibri" w:eastAsia="Microsoft YaHei"/>
          <w:sz w:val="21"/>
        </w:rPr>
        <w:t>将项目类别统一标注为“传统美术”，保证数据口径一致。</w:t>
      </w:r>
    </w:p>
    <w:p>
      <w:pPr>
        <w:pStyle w:val="ListNumber"/>
      </w:pPr>
      <w:r>
        <w:rPr>
          <w:rFonts w:ascii="Calibri" w:hAnsi="Calibri" w:eastAsia="Microsoft YaHei"/>
          <w:sz w:val="21"/>
        </w:rPr>
        <w:t>按申报地或代表性传承地补充近似经纬度，用于信息可视化表达，不作为精确测绘坐标。</w:t>
      </w:r>
    </w:p>
    <w:p>
      <w:pPr>
        <w:pStyle w:val="ListNumber"/>
      </w:pPr>
      <w:r>
        <w:rPr>
          <w:rFonts w:ascii="Calibri" w:hAnsi="Calibri" w:eastAsia="Microsoft YaHei"/>
          <w:sz w:val="21"/>
        </w:rPr>
        <w:t>从项目名称、民族属性、地域民俗和纹样特征中提炼视觉关键词，用于连接模块A统计分析和模块B剪纸生成艺术。</w:t>
      </w:r>
    </w:p>
    <w:p>
      <w:pPr>
        <w:pStyle w:val="ListNumber"/>
      </w:pPr>
      <w:r>
        <w:rPr>
          <w:rFonts w:ascii="Calibri" w:hAnsi="Calibri" w:eastAsia="Microsoft YaHei"/>
          <w:sz w:val="21"/>
        </w:rPr>
        <w:t>将清洗后的CSV转换为papercutData.js，使网页可以在无后端环境下直接读取数据。</w:t>
      </w:r>
    </w:p>
    <w:p>
      <w:pPr>
        <w:pStyle w:val="Heading1"/>
      </w:pPr>
      <w:r>
        <w:t>五、数据限制与使用说明</w:t>
      </w:r>
    </w:p>
    <w:p>
      <w:pPr>
        <w:pStyle w:val="ListBullet"/>
      </w:pPr>
      <w:r>
        <w:rPr>
          <w:rFonts w:ascii="Calibri" w:hAnsi="Calibri" w:eastAsia="Microsoft YaHei"/>
          <w:sz w:val="21"/>
        </w:rPr>
        <w:t>项目名称、申报地区、批次和类别来自公开名录整理，适合作为课程设计的数据基础。</w:t>
      </w:r>
    </w:p>
    <w:p>
      <w:pPr>
        <w:pStyle w:val="ListBullet"/>
      </w:pPr>
      <w:r>
        <w:rPr>
          <w:rFonts w:ascii="Calibri" w:hAnsi="Calibri" w:eastAsia="Microsoft YaHei"/>
          <w:sz w:val="21"/>
        </w:rPr>
        <w:t>经纬度为近似定位，仅用于视觉表达和空间感知，不用于精确地图测绘或行政边界判断。</w:t>
      </w:r>
    </w:p>
    <w:p>
      <w:pPr>
        <w:pStyle w:val="ListBullet"/>
      </w:pPr>
      <w:r>
        <w:rPr>
          <w:rFonts w:ascii="Calibri" w:hAnsi="Calibri" w:eastAsia="Microsoft YaHei"/>
          <w:sz w:val="21"/>
        </w:rPr>
        <w:t>视觉关键词属于设计性编码字段，目的是把数据分析结果转译为生成艺术元素，因此在报告中作为“视觉提取依据”使用。</w:t>
      </w:r>
    </w:p>
    <w:p>
      <w:pPr>
        <w:pStyle w:val="ListBullet"/>
      </w:pPr>
      <w:r>
        <w:rPr>
          <w:rFonts w:ascii="Calibri" w:hAnsi="Calibri" w:eastAsia="Microsoft YaHei"/>
          <w:sz w:val="21"/>
        </w:rPr>
        <w:t>清洗后数据主要服务本课程设计的模块A图表、模块B生成艺术和模块C叙事整合。</w:t>
      </w:r>
    </w:p>
    <w:p>
      <w:pPr>
        <w:pStyle w:val="Heading1"/>
      </w:pPr>
      <w:r>
        <w:t>六、初步数据洞察</w:t>
      </w:r>
    </w:p>
    <w:p>
      <w:pPr>
        <w:pStyle w:val="ListBullet"/>
      </w:pPr>
      <w:r>
        <w:rPr>
          <w:rFonts w:ascii="Calibri" w:hAnsi="Calibri" w:eastAsia="Microsoft YaHei"/>
          <w:sz w:val="21"/>
        </w:rPr>
        <w:t>剪纸类非遗项目具有明显的地域集中特征，辽宁、山西、江苏、福建、山东等省份数量较多。</w:t>
      </w:r>
    </w:p>
    <w:p>
      <w:pPr>
        <w:pStyle w:val="ListBullet"/>
      </w:pPr>
      <w:r>
        <w:rPr>
          <w:rFonts w:ascii="Calibri" w:hAnsi="Calibri" w:eastAsia="Microsoft YaHei"/>
          <w:sz w:val="21"/>
        </w:rPr>
        <w:t>第二批扩展名录中的剪纸类项目数量最多，说明剪纸类项目在国家级非遗保护体系中经历了集中扩充和细分认定。</w:t>
      </w:r>
    </w:p>
    <w:p>
      <w:pPr>
        <w:pStyle w:val="ListBullet"/>
      </w:pPr>
      <w:r>
        <w:rPr>
          <w:rFonts w:ascii="Calibri" w:hAnsi="Calibri" w:eastAsia="Microsoft YaHei"/>
          <w:sz w:val="21"/>
        </w:rPr>
        <w:t>剪纸项目不仅包含汉族民间窗花，也包含满族、苗族、水族、回族、傣族等民族文化样式。</w:t>
      </w:r>
    </w:p>
    <w:p>
      <w:pPr>
        <w:pStyle w:val="ListBullet"/>
      </w:pPr>
      <w:r>
        <w:rPr>
          <w:rFonts w:ascii="Calibri" w:hAnsi="Calibri" w:eastAsia="Microsoft YaHei"/>
          <w:sz w:val="21"/>
        </w:rPr>
        <w:t>多数项目的视觉关键词集中在“窗花、花鸟、吉祥、民俗、几何纹、民族纹样”等方向，为生成艺术提供图形元素依据。</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755F55"/>
        <w:sz w:val="18"/>
      </w:rPr>
      <w:t>纸上生花：中国剪纸非遗多维信息可视化设计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B21F2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7D14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