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bCs/>
          <w:sz w:val="28"/>
          <w:szCs w:val="28"/>
        </w:rPr>
        <w:t xml:space="preserve">BUSINESS PLAN COMPETITION</w:t>
      </w:r>
    </w:p>
    <w:p>
      <w:pPr>
        <w:spacing w:after="480" w:line="360" w:lineRule="auto"/>
        <w:jc w:val="center"/>
      </w:pPr>
      <w:r>
        <w:rPr>
          <w:rFonts w:ascii="Times New Roman" w:cs="Times New Roman" w:eastAsia="Times New Roman" w:hAnsi="Times New Roman"/>
          <w:b/>
          <w:bCs/>
          <w:sz w:val="28"/>
          <w:szCs w:val="28"/>
        </w:rPr>
        <w:t xml:space="preserve">IFEST UNPAD 2026</w:t>
      </w:r>
    </w:p>
    <w:p>
      <w:pPr>
        <w:spacing w:after="640" w:line="360" w:lineRule="auto"/>
        <w:jc w:val="center"/>
      </w:pPr>
      <w:r>
        <w:rPr>
          <w:rFonts w:ascii="Times New Roman" w:cs="Times New Roman" w:eastAsia="Times New Roman" w:hAnsi="Times New Roman"/>
          <w:b/>
          <w:bCs/>
          <w:sz w:val="28"/>
          <w:szCs w:val="28"/>
        </w:rPr>
        <w:t xml:space="preserve">GREEN AND SUSTAINABLE TECHNOLOGY</w:t>
      </w:r>
    </w:p>
    <w:p>
      <w:pPr>
        <w:spacing w:after="0" w:line="360" w:lineRule="auto"/>
        <w:jc w:val="center"/>
      </w:pPr>
      <w:r>
        <w:rPr>
          <w:rFonts w:ascii="Times New Roman" w:cs="Times New Roman" w:eastAsia="Times New Roman" w:hAnsi="Times New Roman"/>
          <w:b/>
          <w:bCs/>
          <w:sz w:val="28"/>
          <w:szCs w:val="28"/>
        </w:rPr>
        <w:t xml:space="preserve">Alurin: Platform SaaS IoT dan AI untuk Optimalisasi Rute</w:t>
      </w:r>
    </w:p>
    <w:p>
      <w:pPr>
        <w:spacing w:after="100" w:line="360" w:lineRule="auto"/>
        <w:jc w:val="center"/>
      </w:pPr>
      <w:r>
        <w:rPr>
          <w:rFonts w:ascii="Times New Roman" w:cs="Times New Roman" w:eastAsia="Times New Roman" w:hAnsi="Times New Roman"/>
          <w:b/>
          <w:bCs/>
          <w:sz w:val="28"/>
          <w:szCs w:val="28"/>
        </w:rPr>
        <w:t xml:space="preserve">Pengangkutan dan Alokasi RDF Sampah Perkotaan Jakarta</w:t>
      </w:r>
    </w:p>
    <w:p>
      <w:pPr>
        <w:spacing w:after="640" w:line="360" w:lineRule="auto"/>
        <w:jc w:val="center"/>
      </w:pPr>
      <w:r>
        <w:rPr>
          <w:rFonts w:ascii="Times New Roman" w:cs="Times New Roman" w:eastAsia="Times New Roman" w:hAnsi="Times New Roman"/>
          <w:i/>
          <w:iCs/>
          <w:sz w:val="24"/>
          <w:szCs w:val="24"/>
        </w:rPr>
        <w:t xml:space="preserve">(Maksimal 20 Kata)</w:t>
      </w:r>
    </w:p>
    <w:tbl>
      <w:tblPr>
        <w:tblW w:type="dxa" w:w="3402"/>
        <w:jc w:val="center"/>
        <w:tblBorders>
          <w:top w:val="single" w:color="auto" w:sz="4"/>
          <w:left w:val="single" w:color="auto" w:sz="4"/>
          <w:bottom w:val="single" w:color="auto" w:sz="4"/>
          <w:right w:val="single" w:color="auto" w:sz="4"/>
          <w:insideH w:val="single" w:color="auto" w:sz="4"/>
          <w:insideV w:val="single" w:color="auto" w:sz="4"/>
        </w:tblBorders>
      </w:tblPr>
      <w:tblGrid>
        <w:gridCol w:w="3402"/>
      </w:tblGrid>
      <w:tr>
        <w:trPr>
          <w:trHeight w:val="2268" w:hRule="atLeast"/>
        </w:trPr>
        <w:tc>
          <w:tcPr>
            <w:tcW w:type="dxa" w:w="3402"/>
            <w:tcBorders>
              <w:top w:val="single" w:color="000000" w:sz="4"/>
              <w:left w:val="single" w:color="000000" w:sz="4"/>
              <w:bottom w:val="single" w:color="000000" w:sz="4"/>
              <w:right w:val="single" w:color="000000" w:sz="4"/>
            </w:tcBorders>
            <w:vAlign w:val="center"/>
          </w:tcPr>
          <w:p>
            <w:pPr>
              <w:spacing w:after="80"/>
              <w:jc w:val="center"/>
            </w:pPr>
            <w:r>
              <w:rPr>
                <w:rFonts w:ascii="Times New Roman" w:cs="Times New Roman" w:eastAsia="Times New Roman" w:hAnsi="Times New Roman"/>
                <w:sz w:val="20"/>
                <w:szCs w:val="20"/>
              </w:rPr>
              <w:t xml:space="preserve">LOGO IFEST 2026</w:t>
            </w:r>
          </w:p>
          <w:p>
            <w:pPr>
              <w:jc w:val="center"/>
            </w:pPr>
            <w:r>
              <w:rPr>
                <w:rFonts w:ascii="Times New Roman" w:cs="Times New Roman" w:eastAsia="Times New Roman" w:hAnsi="Times New Roman"/>
                <w:i/>
                <w:iCs/>
                <w:sz w:val="20"/>
                <w:szCs w:val="20"/>
              </w:rPr>
              <w:t xml:space="preserve">(placeholder — ganti dengan logo resmi</w:t>
            </w:r>
          </w:p>
          <w:p>
            <w:pPr>
              <w:jc w:val="center"/>
            </w:pPr>
            <w:r>
              <w:rPr>
                <w:rFonts w:ascii="Times New Roman" w:cs="Times New Roman" w:eastAsia="Times New Roman" w:hAnsi="Times New Roman"/>
                <w:i/>
                <w:iCs/>
                <w:sz w:val="20"/>
                <w:szCs w:val="20"/>
              </w:rPr>
              <w:t xml:space="preserve">dari template panitia sebelum submit)</w:t>
            </w:r>
          </w:p>
        </w:tc>
      </w:tr>
    </w:tbl>
    <w:p>
      <w:pPr>
        <w:spacing w:after="640"/>
      </w:pPr>
    </w:p>
    <w:p>
      <w:pPr>
        <w:spacing w:after="100" w:line="360" w:lineRule="auto"/>
        <w:jc w:val="center"/>
      </w:pPr>
      <w:r>
        <w:rPr>
          <w:rFonts w:ascii="Times New Roman" w:cs="Times New Roman" w:eastAsia="Times New Roman" w:hAnsi="Times New Roman"/>
          <w:sz w:val="24"/>
          <w:szCs w:val="24"/>
        </w:rPr>
        <w:t xml:space="preserve">Diusulkan oleh:</w:t>
      </w:r>
    </w:p>
    <w:p>
      <w:pPr>
        <w:spacing w:after="0" w:line="360" w:lineRule="auto"/>
        <w:jc w:val="center"/>
      </w:pPr>
      <w:r>
        <w:rPr>
          <w:rFonts w:ascii="Times New Roman" w:cs="Times New Roman" w:eastAsia="Times New Roman" w:hAnsi="Times New Roman"/>
          <w:sz w:val="24"/>
          <w:szCs w:val="24"/>
        </w:rPr>
        <w:t xml:space="preserve">Hansel Stevan Boike – 140810240079</w:t>
      </w:r>
    </w:p>
    <w:p>
      <w:pPr>
        <w:spacing w:after="0" w:line="360" w:lineRule="auto"/>
        <w:jc w:val="center"/>
      </w:pPr>
      <w:r>
        <w:rPr>
          <w:rFonts w:ascii="Times New Roman" w:cs="Times New Roman" w:eastAsia="Times New Roman" w:hAnsi="Times New Roman"/>
          <w:sz w:val="24"/>
          <w:szCs w:val="24"/>
        </w:rPr>
        <w:t xml:space="preserve">Bryan Patrick Kurniawan – 2802420920</w:t>
      </w:r>
    </w:p>
    <w:p>
      <w:pPr>
        <w:spacing w:after="240" w:line="360" w:lineRule="auto"/>
        <w:jc w:val="center"/>
      </w:pPr>
      <w:r>
        <w:rPr>
          <w:rFonts w:ascii="Times New Roman" w:cs="Times New Roman" w:eastAsia="Times New Roman" w:hAnsi="Times New Roman"/>
          <w:sz w:val="24"/>
          <w:szCs w:val="24"/>
        </w:rPr>
        <w:t xml:space="preserve">Michael Hau – 125240042</w:t>
      </w:r>
    </w:p>
    <w:p>
      <w:pPr>
        <w:spacing w:after="0" w:line="360" w:lineRule="auto"/>
        <w:jc w:val="center"/>
      </w:pPr>
      <w:r>
        <w:rPr>
          <w:rFonts w:ascii="Times New Roman" w:cs="Times New Roman" w:eastAsia="Times New Roman" w:hAnsi="Times New Roman"/>
          <w:sz w:val="24"/>
          <w:szCs w:val="24"/>
        </w:rPr>
        <w:t xml:space="preserve">Universitas Padjadjaran, Jawa Barat, 2026</w:t>
      </w:r>
    </w:p>
    <w:p>
      <w:pPr>
        <w:spacing w:after="0" w:line="360" w:lineRule="auto"/>
        <w:jc w:val="center"/>
      </w:pPr>
      <w:r>
        <w:rPr>
          <w:rFonts w:ascii="Times New Roman" w:cs="Times New Roman" w:eastAsia="Times New Roman" w:hAnsi="Times New Roman"/>
          <w:sz w:val="24"/>
          <w:szCs w:val="24"/>
        </w:rPr>
        <w:t xml:space="preserve">Universitas Bina Nusantara, Jakarta Barat, 2026</w:t>
      </w:r>
    </w:p>
    <w:p>
      <w:pPr>
        <w:spacing w:after="360" w:line="360" w:lineRule="auto"/>
        <w:jc w:val="center"/>
      </w:pPr>
      <w:r>
        <w:rPr>
          <w:rFonts w:ascii="Times New Roman" w:cs="Times New Roman" w:eastAsia="Times New Roman" w:hAnsi="Times New Roman"/>
          <w:sz w:val="24"/>
          <w:szCs w:val="24"/>
        </w:rPr>
        <w:t xml:space="preserve">Universitas Tarumanegara, Jakarta Barat, 2026</w:t>
      </w:r>
    </w:p>
    <w:p>
      <w:pPr>
        <w:spacing w:after="0" w:line="360" w:lineRule="auto"/>
        <w:jc w:val="center"/>
      </w:pPr>
      <w:r>
        <w:rPr>
          <w:rFonts w:ascii="Times New Roman" w:cs="Times New Roman" w:eastAsia="Times New Roman" w:hAnsi="Times New Roman"/>
          <w:b/>
          <w:bCs/>
          <w:sz w:val="24"/>
          <w:szCs w:val="24"/>
        </w:rPr>
        <w:t xml:space="preserve">UNIVERSITAS PADJADJARAN</w:t>
      </w:r>
    </w:p>
    <w:p>
      <w:pPr>
        <w:spacing w:after="0" w:line="360" w:lineRule="auto"/>
        <w:jc w:val="center"/>
      </w:pPr>
      <w:r>
        <w:rPr>
          <w:rFonts w:ascii="Times New Roman" w:cs="Times New Roman" w:eastAsia="Times New Roman" w:hAnsi="Times New Roman"/>
          <w:b/>
          <w:bCs/>
          <w:sz w:val="24"/>
          <w:szCs w:val="24"/>
        </w:rPr>
        <w:t xml:space="preserve">JATINANGOR</w:t>
      </w:r>
    </w:p>
    <w:p>
      <w:pPr>
        <w:spacing w:after="0" w:line="360" w:lineRule="auto"/>
        <w:jc w:val="center"/>
      </w:pPr>
      <w:r>
        <w:rPr>
          <w:rFonts w:ascii="Times New Roman" w:cs="Times New Roman" w:eastAsia="Times New Roman" w:hAnsi="Times New Roman"/>
          <w:b/>
          <w:bCs/>
          <w:sz w:val="24"/>
          <w:szCs w:val="24"/>
        </w:rPr>
        <w:t xml:space="preserve">2026</w:t>
      </w:r>
    </w:p>
    <w:p>
      <w:pPr>
        <w:pageBreakBefore/>
        <w:spacing w:after="240" w:line="360" w:lineRule="auto"/>
        <w:jc w:val="center"/>
      </w:pPr>
      <w:r>
        <w:rPr>
          <w:rFonts w:ascii="Times New Roman" w:cs="Times New Roman" w:eastAsia="Times New Roman" w:hAnsi="Times New Roman"/>
          <w:b/>
          <w:bCs/>
          <w:sz w:val="28"/>
          <w:szCs w:val="28"/>
        </w:rPr>
        <w:t xml:space="preserve">KATA PENGANTAR</w:t>
      </w:r>
    </w:p>
    <w:p>
      <w:pPr>
        <w:spacing w:after="0" w:line="360" w:lineRule="auto"/>
        <w:ind w:firstLine="709"/>
        <w:jc w:val="both"/>
      </w:pPr>
      <w:r>
        <w:rPr>
          <w:rFonts w:ascii="Times New Roman" w:cs="Times New Roman" w:eastAsia="Times New Roman" w:hAnsi="Times New Roman"/>
          <w:sz w:val="24"/>
          <w:szCs w:val="24"/>
        </w:rPr>
        <w:t xml:space="preserve">Puji dan syukur kami panjatkan ke hadirat Tuhan Yang Maha Esa atas rahmat dan karunia-Nya, sehingga kami dapat menyelesaikan penyusunan proposal ini dengan tepat waktu. Proposal ini disusun dalam rangka mengikuti kompetisi </w:t>
      </w:r>
      <w:r>
        <w:rPr>
          <w:rFonts w:ascii="Times New Roman" w:cs="Times New Roman" w:eastAsia="Times New Roman" w:hAnsi="Times New Roman"/>
          <w:i/>
          <w:iCs/>
          <w:sz w:val="24"/>
          <w:szCs w:val="24"/>
        </w:rPr>
        <w:t xml:space="preserve">Business Plan Competition</w:t>
      </w:r>
      <w:r>
        <w:rPr>
          <w:rFonts w:ascii="Times New Roman" w:cs="Times New Roman" w:eastAsia="Times New Roman" w:hAnsi="Times New Roman"/>
          <w:sz w:val="24"/>
          <w:szCs w:val="24"/>
        </w:rPr>
        <w:t xml:space="preserve"> (BPC) IFEST 2026 yang diselenggarakan oleh Himpunan Mahasiswa Teknik Informatika Universitas Padjadjaran (HIMATIF UNPAD).</w:t>
      </w:r>
    </w:p>
    <w:p>
      <w:pPr>
        <w:spacing w:after="0" w:line="360" w:lineRule="auto"/>
        <w:ind w:firstLine="709"/>
        <w:jc w:val="both"/>
      </w:pPr>
      <w:r>
        <w:rPr>
          <w:rFonts w:ascii="Times New Roman" w:cs="Times New Roman" w:eastAsia="Times New Roman" w:hAnsi="Times New Roman"/>
          <w:sz w:val="24"/>
          <w:szCs w:val="24"/>
        </w:rPr>
        <w:t xml:space="preserve">Gagasan bisnis ini dirancang sebagai upaya untuk menghadirkan solusi inovatif dalam menghadapi masalah inefisiensi logistik pengangkutan sampah perkotaan dan krisis kapasitas Tempat Pemrosesan Akhir (TPA) Bantar Gebang, sekaligus menciptakan peluang usaha yang memiliki nilai ekonomis, daya saing tinggi, dan berdampak positif bagi masyarakat luas.</w:t>
      </w:r>
    </w:p>
    <w:p>
      <w:pPr>
        <w:spacing w:after="0" w:line="360" w:lineRule="auto"/>
        <w:ind w:firstLine="709"/>
        <w:jc w:val="both"/>
      </w:pPr>
      <w:r>
        <w:rPr>
          <w:rFonts w:ascii="Times New Roman" w:cs="Times New Roman" w:eastAsia="Times New Roman" w:hAnsi="Times New Roman"/>
          <w:sz w:val="24"/>
          <w:szCs w:val="24"/>
        </w:rPr>
        <w:t xml:space="preserve">Keberhasilan penyusunan proposal ini tidak lepas dari bantuan dan dukungan dari berbagai pihak. Pada kesempatan ini, kami ingin menyampaikan apresiasi dan terima kasih yang sebesar-besarnya kepada:</w:t>
      </w:r>
    </w:p>
    <w:p>
      <w:pPr>
        <w:spacing w:after="40" w:line="360" w:lineRule="auto"/>
        <w:ind w:left="850" w:hanging="283"/>
        <w:jc w:val="both"/>
      </w:pPr>
      <w:r>
        <w:rPr>
          <w:rFonts w:ascii="Times New Roman" w:cs="Times New Roman" w:eastAsia="Times New Roman" w:hAnsi="Times New Roman"/>
          <w:sz w:val="24"/>
          <w:szCs w:val="24"/>
        </w:rPr>
        <w:t xml:space="preserve">1. Keluarga besar kami yang senantiasa memberikan dukungan moral maupun material selama proses penyusunan proposal ini.</w:t>
      </w:r>
    </w:p>
    <w:p>
      <w:pPr>
        <w:spacing w:after="40" w:line="360" w:lineRule="auto"/>
        <w:ind w:left="850" w:hanging="283"/>
        <w:jc w:val="both"/>
      </w:pPr>
      <w:r>
        <w:rPr>
          <w:rFonts w:ascii="Times New Roman" w:cs="Times New Roman" w:eastAsia="Times New Roman" w:hAnsi="Times New Roman"/>
          <w:sz w:val="24"/>
          <w:szCs w:val="24"/>
        </w:rPr>
        <w:t xml:space="preserve">2. Panitia penyelenggara IFEST BPC 2026 HIMATIF UNPAD atas kesempatan dan bimbingan teknis yang diberikan.</w:t>
      </w:r>
    </w:p>
    <w:p>
      <w:pPr>
        <w:spacing w:after="40" w:line="360" w:lineRule="auto"/>
        <w:ind w:left="850" w:hanging="283"/>
        <w:jc w:val="both"/>
      </w:pPr>
      <w:r>
        <w:rPr>
          <w:rFonts w:ascii="Times New Roman" w:cs="Times New Roman" w:eastAsia="Times New Roman" w:hAnsi="Times New Roman"/>
          <w:sz w:val="24"/>
          <w:szCs w:val="24"/>
        </w:rPr>
        <w:t xml:space="preserve">3. Seluruh pihak yang telah memberikan masukan, data, maupun dukungan lain yang tidak dapat kami sebutkan satu per satu.</w:t>
      </w:r>
    </w:p>
    <w:p>
      <w:pPr>
        <w:spacing w:after="0" w:line="360" w:lineRule="auto"/>
        <w:ind w:firstLine="709"/>
        <w:jc w:val="both"/>
      </w:pPr>
      <w:r>
        <w:rPr>
          <w:rFonts w:ascii="Times New Roman" w:cs="Times New Roman" w:eastAsia="Times New Roman" w:hAnsi="Times New Roman"/>
          <w:sz w:val="24"/>
          <w:szCs w:val="24"/>
        </w:rPr>
        <w:t xml:space="preserve">Kami menyadari bahwa proposal ini masih memiliki keterbatasan dan jauh dari kata sempurna. Oleh karena itu, kami sangat terbuka terhadap kritik, saran, serta masukan konstruktif dari dewan juri dan pembaca sekalian demi penyempurnaan rancangan bisnis ini di masa depan.</w:t>
      </w:r>
    </w:p>
    <w:p>
      <w:pPr>
        <w:spacing w:after="0" w:line="360" w:lineRule="auto"/>
        <w:ind w:firstLine="709"/>
        <w:jc w:val="both"/>
      </w:pPr>
      <w:r>
        <w:rPr>
          <w:rFonts w:ascii="Times New Roman" w:cs="Times New Roman" w:eastAsia="Times New Roman" w:hAnsi="Times New Roman"/>
          <w:sz w:val="24"/>
          <w:szCs w:val="24"/>
        </w:rPr>
        <w:t xml:space="preserve">Besar harapan kami agar proposal bisnis ini dapat dinilai secara objektif, memberikan manfaat nyata, serta dapat direalisasikan di masa depan.</w:t>
      </w:r>
    </w:p>
    <w:p>
      <w:pPr>
        <w:spacing w:after="240"/>
      </w:pPr>
    </w:p>
    <w:p>
      <w:pPr>
        <w:spacing w:after="0" w:line="360" w:lineRule="auto"/>
        <w:jc w:val="right"/>
      </w:pPr>
      <w:r>
        <w:rPr>
          <w:rFonts w:ascii="Times New Roman" w:cs="Times New Roman" w:eastAsia="Times New Roman" w:hAnsi="Times New Roman"/>
          <w:sz w:val="24"/>
          <w:szCs w:val="24"/>
        </w:rPr>
        <w:t xml:space="preserve">Jatinangor, 2026</w:t>
      </w:r>
    </w:p>
    <w:p>
      <w:pPr>
        <w:spacing w:after="0" w:line="360" w:lineRule="auto"/>
        <w:jc w:val="right"/>
      </w:pPr>
      <w:r>
        <w:rPr>
          <w:rFonts w:ascii="Times New Roman" w:cs="Times New Roman" w:eastAsia="Times New Roman" w:hAnsi="Times New Roman"/>
          <w:sz w:val="24"/>
          <w:szCs w:val="24"/>
        </w:rPr>
        <w:t xml:space="preserve">Tim Penyusun</w:t>
      </w:r>
    </w:p>
    <w:p>
      <w:pPr>
        <w:pageBreakBefore/>
        <w:spacing w:after="240" w:line="360" w:lineRule="auto"/>
        <w:jc w:val="center"/>
      </w:pPr>
      <w:r>
        <w:rPr>
          <w:rFonts w:ascii="Times New Roman" w:cs="Times New Roman" w:eastAsia="Times New Roman" w:hAnsi="Times New Roman"/>
          <w:b/>
          <w:bCs/>
          <w:sz w:val="28"/>
          <w:szCs w:val="28"/>
        </w:rPr>
        <w:t xml:space="preserve">DAFTAR ISI</w:t>
      </w:r>
    </w:p>
    <w:p>
      <w:pPr>
        <w:spacing w:after="0" w:line="360" w:lineRule="auto"/>
        <w:jc w:val="both"/>
      </w:pPr>
      <w:r>
        <w:rPr>
          <w:rFonts w:ascii="Times New Roman" w:cs="Times New Roman" w:eastAsia="Times New Roman" w:hAnsi="Times New Roman"/>
          <w:b/>
          <w:bCs/>
          <w:sz w:val="24"/>
          <w:szCs w:val="24"/>
        </w:rPr>
        <w:t xml:space="preserve">Bab 1. Pendahuluan</w:t>
      </w:r>
    </w:p>
    <w:p>
      <w:pPr>
        <w:spacing w:after="0" w:line="360" w:lineRule="auto"/>
      </w:pPr>
      <w:r>
        <w:rPr>
          <w:rFonts w:ascii="Times New Roman" w:cs="Times New Roman" w:eastAsia="Times New Roman" w:hAnsi="Times New Roman"/>
          <w:sz w:val="24"/>
          <w:szCs w:val="24"/>
        </w:rPr>
        <w:t xml:space="preserve">1.1. Latar Belakang Bisnis</w:t>
      </w:r>
      <w:r>
        <w:rPr>
          <w:rFonts w:ascii="Times New Roman" w:cs="Times New Roman" w:eastAsia="Times New Roman" w:hAnsi="Times New Roman"/>
          <w:sz w:val="24"/>
          <w:szCs w:val="24"/>
        </w:rPr>
        <w:ptab w:alignment="right" w:relativeTo="margin" w:leader="dot"/>
        <w:t xml:space="preserve">1</w:t>
      </w:r>
    </w:p>
    <w:p>
      <w:pPr>
        <w:spacing w:after="0" w:line="360" w:lineRule="auto"/>
      </w:pPr>
      <w:r>
        <w:rPr>
          <w:rFonts w:ascii="Times New Roman" w:cs="Times New Roman" w:eastAsia="Times New Roman" w:hAnsi="Times New Roman"/>
          <w:sz w:val="24"/>
          <w:szCs w:val="24"/>
        </w:rPr>
        <w:t xml:space="preserve">1.2. Tujuan Bisnis</w:t>
      </w:r>
      <w:r>
        <w:rPr>
          <w:rFonts w:ascii="Times New Roman" w:cs="Times New Roman" w:eastAsia="Times New Roman" w:hAnsi="Times New Roman"/>
          <w:sz w:val="24"/>
          <w:szCs w:val="24"/>
        </w:rPr>
        <w:ptab w:alignment="right" w:relativeTo="margin" w:leader="dot"/>
        <w:t xml:space="preserve">2</w:t>
      </w:r>
    </w:p>
    <w:p>
      <w:pPr>
        <w:spacing w:after="0" w:line="360" w:lineRule="auto"/>
      </w:pPr>
      <w:r>
        <w:rPr>
          <w:rFonts w:ascii="Times New Roman" w:cs="Times New Roman" w:eastAsia="Times New Roman" w:hAnsi="Times New Roman"/>
          <w:sz w:val="24"/>
          <w:szCs w:val="24"/>
        </w:rPr>
        <w:t xml:space="preserve">1.3. Manfaat Bisnis</w:t>
      </w:r>
      <w:r>
        <w:rPr>
          <w:rFonts w:ascii="Times New Roman" w:cs="Times New Roman" w:eastAsia="Times New Roman" w:hAnsi="Times New Roman"/>
          <w:sz w:val="24"/>
          <w:szCs w:val="24"/>
        </w:rPr>
        <w:ptab w:alignment="right" w:relativeTo="margin" w:leader="dot"/>
        <w:t xml:space="preserve">3</w:t>
      </w:r>
    </w:p>
    <w:p>
      <w:pPr>
        <w:spacing w:after="120"/>
      </w:pPr>
    </w:p>
    <w:p>
      <w:pPr>
        <w:spacing w:after="0" w:line="360" w:lineRule="auto"/>
        <w:jc w:val="both"/>
      </w:pPr>
      <w:r>
        <w:rPr>
          <w:rFonts w:ascii="Times New Roman" w:cs="Times New Roman" w:eastAsia="Times New Roman" w:hAnsi="Times New Roman"/>
          <w:b/>
          <w:bCs/>
          <w:sz w:val="24"/>
          <w:szCs w:val="24"/>
        </w:rPr>
        <w:t xml:space="preserve">Bab 2. Analisis Produk/Jasa</w:t>
      </w:r>
    </w:p>
    <w:p>
      <w:pPr>
        <w:spacing w:after="0" w:line="360" w:lineRule="auto"/>
      </w:pPr>
      <w:r>
        <w:rPr>
          <w:rFonts w:ascii="Times New Roman" w:cs="Times New Roman" w:eastAsia="Times New Roman" w:hAnsi="Times New Roman"/>
          <w:sz w:val="24"/>
          <w:szCs w:val="24"/>
        </w:rPr>
        <w:t xml:space="preserve">2.1. Deskripsi Produk/Jasa</w:t>
      </w:r>
      <w:r>
        <w:rPr>
          <w:rFonts w:ascii="Times New Roman" w:cs="Times New Roman" w:eastAsia="Times New Roman" w:hAnsi="Times New Roman"/>
          <w:sz w:val="24"/>
          <w:szCs w:val="24"/>
        </w:rPr>
        <w:ptab w:alignment="right" w:relativeTo="margin" w:leader="dot"/>
        <w:t xml:space="preserve">4</w:t>
      </w:r>
    </w:p>
    <w:p>
      <w:pPr>
        <w:spacing w:after="0" w:line="360" w:lineRule="auto"/>
      </w:pPr>
      <w:r>
        <w:rPr>
          <w:rFonts w:ascii="Times New Roman" w:cs="Times New Roman" w:eastAsia="Times New Roman" w:hAnsi="Times New Roman"/>
          <w:sz w:val="24"/>
          <w:szCs w:val="24"/>
        </w:rPr>
        <w:t xml:space="preserve">2.2. Keunggulan Produk</w:t>
      </w:r>
      <w:r>
        <w:rPr>
          <w:rFonts w:ascii="Times New Roman" w:cs="Times New Roman" w:eastAsia="Times New Roman" w:hAnsi="Times New Roman"/>
          <w:sz w:val="24"/>
          <w:szCs w:val="24"/>
        </w:rPr>
        <w:ptab w:alignment="right" w:relativeTo="margin" w:leader="dot"/>
        <w:t xml:space="preserve">4</w:t>
      </w:r>
    </w:p>
    <w:p>
      <w:pPr>
        <w:spacing w:after="0" w:line="360" w:lineRule="auto"/>
      </w:pPr>
      <w:r>
        <w:rPr>
          <w:rFonts w:ascii="Times New Roman" w:cs="Times New Roman" w:eastAsia="Times New Roman" w:hAnsi="Times New Roman"/>
          <w:sz w:val="24"/>
          <w:szCs w:val="24"/>
        </w:rPr>
        <w:t xml:space="preserve">2.3. Alur Produksi/Jasa</w:t>
      </w:r>
      <w:r>
        <w:rPr>
          <w:rFonts w:ascii="Times New Roman" w:cs="Times New Roman" w:eastAsia="Times New Roman" w:hAnsi="Times New Roman"/>
          <w:sz w:val="24"/>
          <w:szCs w:val="24"/>
        </w:rPr>
        <w:ptab w:alignment="right" w:relativeTo="margin" w:leader="dot"/>
        <w:t xml:space="preserve">5</w:t>
      </w:r>
    </w:p>
    <w:p>
      <w:pPr>
        <w:spacing w:after="0" w:line="360" w:lineRule="auto"/>
      </w:pPr>
      <w:r>
        <w:rPr>
          <w:rFonts w:ascii="Times New Roman" w:cs="Times New Roman" w:eastAsia="Times New Roman" w:hAnsi="Times New Roman"/>
          <w:sz w:val="24"/>
          <w:szCs w:val="24"/>
        </w:rPr>
        <w:t xml:space="preserve">2.4. Rencana Pengembangan Produk/Jasa</w:t>
      </w:r>
      <w:r>
        <w:rPr>
          <w:rFonts w:ascii="Times New Roman" w:cs="Times New Roman" w:eastAsia="Times New Roman" w:hAnsi="Times New Roman"/>
          <w:sz w:val="24"/>
          <w:szCs w:val="24"/>
        </w:rPr>
        <w:ptab w:alignment="right" w:relativeTo="margin" w:leader="dot"/>
        <w:t xml:space="preserve">6</w:t>
      </w:r>
    </w:p>
    <w:p>
      <w:pPr>
        <w:spacing w:after="120"/>
      </w:pPr>
    </w:p>
    <w:p>
      <w:pPr>
        <w:spacing w:after="0" w:line="360" w:lineRule="auto"/>
        <w:jc w:val="both"/>
      </w:pPr>
      <w:r>
        <w:rPr>
          <w:rFonts w:ascii="Times New Roman" w:cs="Times New Roman" w:eastAsia="Times New Roman" w:hAnsi="Times New Roman"/>
          <w:b/>
          <w:bCs/>
          <w:sz w:val="24"/>
          <w:szCs w:val="24"/>
        </w:rPr>
        <w:t xml:space="preserve">Bab 3. Analisis Pasar</w:t>
      </w:r>
    </w:p>
    <w:p>
      <w:pPr>
        <w:spacing w:after="0" w:line="360" w:lineRule="auto"/>
      </w:pPr>
      <w:r>
        <w:rPr>
          <w:rFonts w:ascii="Times New Roman" w:cs="Times New Roman" w:eastAsia="Times New Roman" w:hAnsi="Times New Roman"/>
          <w:sz w:val="24"/>
          <w:szCs w:val="24"/>
        </w:rPr>
        <w:t xml:space="preserve">3.1. Analisis SWOT</w:t>
      </w:r>
      <w:r>
        <w:rPr>
          <w:rFonts w:ascii="Times New Roman" w:cs="Times New Roman" w:eastAsia="Times New Roman" w:hAnsi="Times New Roman"/>
          <w:sz w:val="24"/>
          <w:szCs w:val="24"/>
        </w:rPr>
        <w:ptab w:alignment="right" w:relativeTo="margin" w:leader="dot"/>
        <w:t xml:space="preserve">7</w:t>
      </w:r>
    </w:p>
    <w:p>
      <w:pPr>
        <w:spacing w:after="0" w:line="360" w:lineRule="auto"/>
      </w:pPr>
      <w:r>
        <w:rPr>
          <w:rFonts w:ascii="Times New Roman" w:cs="Times New Roman" w:eastAsia="Times New Roman" w:hAnsi="Times New Roman"/>
          <w:sz w:val="24"/>
          <w:szCs w:val="24"/>
        </w:rPr>
        <w:t xml:space="preserve">3.2. Target dan Segmen Pasar</w:t>
      </w:r>
      <w:r>
        <w:rPr>
          <w:rFonts w:ascii="Times New Roman" w:cs="Times New Roman" w:eastAsia="Times New Roman" w:hAnsi="Times New Roman"/>
          <w:sz w:val="24"/>
          <w:szCs w:val="24"/>
        </w:rPr>
        <w:ptab w:alignment="right" w:relativeTo="margin" w:leader="dot"/>
        <w:t xml:space="preserve">8</w:t>
      </w:r>
    </w:p>
    <w:p>
      <w:pPr>
        <w:spacing w:after="0" w:line="360" w:lineRule="auto"/>
      </w:pPr>
      <w:r>
        <w:rPr>
          <w:rFonts w:ascii="Times New Roman" w:cs="Times New Roman" w:eastAsia="Times New Roman" w:hAnsi="Times New Roman"/>
          <w:sz w:val="24"/>
          <w:szCs w:val="24"/>
        </w:rPr>
        <w:t xml:space="preserve">3.3. Strategi Pemasaran</w:t>
      </w:r>
      <w:r>
        <w:rPr>
          <w:rFonts w:ascii="Times New Roman" w:cs="Times New Roman" w:eastAsia="Times New Roman" w:hAnsi="Times New Roman"/>
          <w:sz w:val="24"/>
          <w:szCs w:val="24"/>
        </w:rPr>
        <w:ptab w:alignment="right" w:relativeTo="margin" w:leader="dot"/>
        <w:t xml:space="preserve">8</w:t>
      </w:r>
    </w:p>
    <w:p>
      <w:pPr>
        <w:spacing w:after="120"/>
      </w:pPr>
    </w:p>
    <w:p>
      <w:pPr>
        <w:spacing w:after="0" w:line="360" w:lineRule="auto"/>
        <w:jc w:val="both"/>
      </w:pPr>
      <w:r>
        <w:rPr>
          <w:rFonts w:ascii="Times New Roman" w:cs="Times New Roman" w:eastAsia="Times New Roman" w:hAnsi="Times New Roman"/>
          <w:b/>
          <w:bCs/>
          <w:sz w:val="24"/>
          <w:szCs w:val="24"/>
        </w:rPr>
        <w:t xml:space="preserve">Bab 4. Rencana Operasional dan Manajemen</w:t>
      </w:r>
    </w:p>
    <w:p>
      <w:pPr>
        <w:spacing w:after="0" w:line="360" w:lineRule="auto"/>
      </w:pPr>
      <w:r>
        <w:rPr>
          <w:rFonts w:ascii="Times New Roman" w:cs="Times New Roman" w:eastAsia="Times New Roman" w:hAnsi="Times New Roman"/>
          <w:sz w:val="24"/>
          <w:szCs w:val="24"/>
        </w:rPr>
        <w:t xml:space="preserve">4.1. Struktur Organisasi</w:t>
      </w:r>
      <w:r>
        <w:rPr>
          <w:rFonts w:ascii="Times New Roman" w:cs="Times New Roman" w:eastAsia="Times New Roman" w:hAnsi="Times New Roman"/>
          <w:sz w:val="24"/>
          <w:szCs w:val="24"/>
        </w:rPr>
        <w:ptab w:alignment="right" w:relativeTo="margin" w:leader="dot"/>
        <w:t xml:space="preserve">9</w:t>
      </w:r>
    </w:p>
    <w:p>
      <w:pPr>
        <w:spacing w:after="0" w:line="360" w:lineRule="auto"/>
      </w:pPr>
      <w:r>
        <w:rPr>
          <w:rFonts w:ascii="Times New Roman" w:cs="Times New Roman" w:eastAsia="Times New Roman" w:hAnsi="Times New Roman"/>
          <w:sz w:val="24"/>
          <w:szCs w:val="24"/>
        </w:rPr>
        <w:t xml:space="preserve">4.2. Rencana Kebutuhan Sumber Daya Manusia</w:t>
      </w:r>
      <w:r>
        <w:rPr>
          <w:rFonts w:ascii="Times New Roman" w:cs="Times New Roman" w:eastAsia="Times New Roman" w:hAnsi="Times New Roman"/>
          <w:sz w:val="24"/>
          <w:szCs w:val="24"/>
        </w:rPr>
        <w:ptab w:alignment="right" w:relativeTo="margin" w:leader="dot"/>
        <w:t xml:space="preserve">9</w:t>
      </w:r>
    </w:p>
    <w:p>
      <w:pPr>
        <w:spacing w:after="120"/>
      </w:pPr>
    </w:p>
    <w:p>
      <w:pPr>
        <w:spacing w:after="0" w:line="360" w:lineRule="auto"/>
        <w:jc w:val="both"/>
      </w:pPr>
      <w:r>
        <w:rPr>
          <w:rFonts w:ascii="Times New Roman" w:cs="Times New Roman" w:eastAsia="Times New Roman" w:hAnsi="Times New Roman"/>
          <w:b/>
          <w:bCs/>
          <w:sz w:val="24"/>
          <w:szCs w:val="24"/>
        </w:rPr>
        <w:t xml:space="preserve">Bab 5. Analisis Keuangan</w:t>
      </w:r>
    </w:p>
    <w:p>
      <w:pPr>
        <w:spacing w:after="0" w:line="360" w:lineRule="auto"/>
      </w:pPr>
      <w:r>
        <w:rPr>
          <w:rFonts w:ascii="Times New Roman" w:cs="Times New Roman" w:eastAsia="Times New Roman" w:hAnsi="Times New Roman"/>
          <w:sz w:val="24"/>
          <w:szCs w:val="24"/>
        </w:rPr>
        <w:t xml:space="preserve">5.1. Kebutuhan Modal Awal</w:t>
      </w:r>
      <w:r>
        <w:rPr>
          <w:rFonts w:ascii="Times New Roman" w:cs="Times New Roman" w:eastAsia="Times New Roman" w:hAnsi="Times New Roman"/>
          <w:sz w:val="24"/>
          <w:szCs w:val="24"/>
        </w:rPr>
        <w:ptab w:alignment="right" w:relativeTo="margin" w:leader="dot"/>
        <w:t xml:space="preserve">10</w:t>
      </w:r>
    </w:p>
    <w:p>
      <w:pPr>
        <w:spacing w:after="0" w:line="360" w:lineRule="auto"/>
      </w:pPr>
      <w:r>
        <w:rPr>
          <w:rFonts w:ascii="Times New Roman" w:cs="Times New Roman" w:eastAsia="Times New Roman" w:hAnsi="Times New Roman"/>
          <w:sz w:val="24"/>
          <w:szCs w:val="24"/>
        </w:rPr>
        <w:t xml:space="preserve">5.2. Struktur Biaya</w:t>
      </w:r>
      <w:r>
        <w:rPr>
          <w:rFonts w:ascii="Times New Roman" w:cs="Times New Roman" w:eastAsia="Times New Roman" w:hAnsi="Times New Roman"/>
          <w:sz w:val="24"/>
          <w:szCs w:val="24"/>
        </w:rPr>
        <w:ptab w:alignment="right" w:relativeTo="margin" w:leader="dot"/>
        <w:t xml:space="preserve">10</w:t>
      </w:r>
    </w:p>
    <w:p>
      <w:pPr>
        <w:spacing w:after="0" w:line="360" w:lineRule="auto"/>
      </w:pPr>
      <w:r>
        <w:rPr>
          <w:rFonts w:ascii="Times New Roman" w:cs="Times New Roman" w:eastAsia="Times New Roman" w:hAnsi="Times New Roman"/>
          <w:sz w:val="24"/>
          <w:szCs w:val="24"/>
        </w:rPr>
        <w:t xml:space="preserve">5.3. Proyeksi Laba Rugi</w:t>
      </w:r>
      <w:r>
        <w:rPr>
          <w:rFonts w:ascii="Times New Roman" w:cs="Times New Roman" w:eastAsia="Times New Roman" w:hAnsi="Times New Roman"/>
          <w:sz w:val="24"/>
          <w:szCs w:val="24"/>
        </w:rPr>
        <w:ptab w:alignment="right" w:relativeTo="margin" w:leader="dot"/>
        <w:t xml:space="preserve">11</w:t>
      </w:r>
    </w:p>
    <w:p>
      <w:pPr>
        <w:spacing w:after="0" w:line="360" w:lineRule="auto"/>
      </w:pPr>
      <w:r>
        <w:rPr>
          <w:rFonts w:ascii="Times New Roman" w:cs="Times New Roman" w:eastAsia="Times New Roman" w:hAnsi="Times New Roman"/>
          <w:sz w:val="24"/>
          <w:szCs w:val="24"/>
        </w:rPr>
        <w:t xml:space="preserve">5.4. Analisis Kelayakan Usaha</w:t>
      </w:r>
      <w:r>
        <w:rPr>
          <w:rFonts w:ascii="Times New Roman" w:cs="Times New Roman" w:eastAsia="Times New Roman" w:hAnsi="Times New Roman"/>
          <w:sz w:val="24"/>
          <w:szCs w:val="24"/>
        </w:rPr>
        <w:ptab w:alignment="right" w:relativeTo="margin" w:leader="dot"/>
        <w:t xml:space="preserve">12</w:t>
      </w:r>
    </w:p>
    <w:p>
      <w:pPr>
        <w:spacing w:after="120"/>
      </w:pPr>
    </w:p>
    <w:p>
      <w:pPr>
        <w:spacing w:after="0" w:line="360" w:lineRule="auto"/>
        <w:jc w:val="both"/>
      </w:pPr>
      <w:r>
        <w:rPr>
          <w:rFonts w:ascii="Times New Roman" w:cs="Times New Roman" w:eastAsia="Times New Roman" w:hAnsi="Times New Roman"/>
          <w:b/>
          <w:bCs/>
          <w:sz w:val="24"/>
          <w:szCs w:val="24"/>
        </w:rPr>
        <w:t xml:space="preserve">Bab 6. Penutup</w:t>
      </w:r>
    </w:p>
    <w:p>
      <w:pPr>
        <w:spacing w:after="0" w:line="360" w:lineRule="auto"/>
      </w:pPr>
      <w:r>
        <w:rPr>
          <w:rFonts w:ascii="Times New Roman" w:cs="Times New Roman" w:eastAsia="Times New Roman" w:hAnsi="Times New Roman"/>
          <w:sz w:val="24"/>
          <w:szCs w:val="24"/>
        </w:rPr>
        <w:t xml:space="preserve">6.1. Kesimpulan</w:t>
      </w:r>
      <w:r>
        <w:rPr>
          <w:rFonts w:ascii="Times New Roman" w:cs="Times New Roman" w:eastAsia="Times New Roman" w:hAnsi="Times New Roman"/>
          <w:sz w:val="24"/>
          <w:szCs w:val="24"/>
        </w:rPr>
        <w:ptab w:alignment="right" w:relativeTo="margin" w:leader="dot"/>
        <w:t xml:space="preserve">13</w:t>
      </w:r>
    </w:p>
    <w:p>
      <w:pPr>
        <w:pageBreakBefore/>
        <w:spacing w:after="240" w:line="360" w:lineRule="auto"/>
        <w:jc w:val="center"/>
      </w:pPr>
      <w:r>
        <w:rPr>
          <w:rFonts w:ascii="Times New Roman" w:cs="Times New Roman" w:eastAsia="Times New Roman" w:hAnsi="Times New Roman"/>
          <w:b/>
          <w:bCs/>
          <w:sz w:val="28"/>
          <w:szCs w:val="28"/>
        </w:rPr>
        <w:t xml:space="preserve">EXECUTIVE SUMMARY</w:t>
      </w:r>
    </w:p>
    <w:p>
      <w:pPr>
        <w:spacing w:after="0" w:line="360" w:lineRule="auto"/>
        <w:ind w:firstLine="709"/>
        <w:jc w:val="both"/>
      </w:pPr>
      <w:r>
        <w:rPr>
          <w:rFonts w:ascii="Times New Roman" w:cs="Times New Roman" w:eastAsia="Times New Roman" w:hAnsi="Times New Roman"/>
          <w:sz w:val="24"/>
          <w:szCs w:val="24"/>
        </w:rPr>
        <w:t xml:space="preserve">TPA Bantar Gebang — penerima rata-rata ±7.354 ton sampah per hari pada 2025 dari DKI Jakarta, dengan puncak ±8.000 ton/hari pada 2026 (Kompas, 2026a) — berada dalam kondisi </w:t>
      </w:r>
      <w:r>
        <w:rPr>
          <w:rFonts w:ascii="Times New Roman" w:cs="Times New Roman" w:eastAsia="Times New Roman" w:hAnsi="Times New Roman"/>
          <w:i/>
          <w:iCs/>
          <w:sz w:val="24"/>
          <w:szCs w:val="24"/>
        </w:rPr>
        <w:t xml:space="preserve">overload</w:t>
      </w:r>
      <w:r>
        <w:rPr>
          <w:rFonts w:ascii="Times New Roman" w:cs="Times New Roman" w:eastAsia="Times New Roman" w:hAnsi="Times New Roman"/>
          <w:sz w:val="24"/>
          <w:szCs w:val="24"/>
        </w:rPr>
        <w:t xml:space="preserve">; total timbulan sampah Jakarta diperkirakan ±9.000 ton/hari bila memperhitungkan komuter (Kompas, 2026b). Pada 8 Maret 2026, longsor di Zona 4A TPST menewaskan tujuh orang dan memaksa penghentian operasi zona tersebut (BBC News Indonesia, 2026). Di sisi pengolahan, RDF Plant Rorotan berkapasitas 2.200–2.400 ton/hari baru mengoperasikan satu lini (±800 ton/hari) karena kendala logistik: menurut Gubernur DKI, seluruh lini “sangat bergantung pada transportasi” (Kompas, 2026c). Kapasitas pengolahan sudah tersedia, tetapi mata rantai yang hilang adalah sistem yang mengarahkan sampah bermutu kalor ke pabrik secara konsisten.</w:t>
      </w:r>
    </w:p>
    <w:p>
      <w:pPr>
        <w:spacing w:after="0" w:line="360" w:lineRule="auto"/>
        <w:ind w:firstLine="709"/>
        <w:jc w:val="both"/>
      </w:pPr>
      <w:r>
        <w:rPr>
          <w:rFonts w:ascii="Times New Roman" w:cs="Times New Roman" w:eastAsia="Times New Roman" w:hAnsi="Times New Roman"/>
          <w:sz w:val="24"/>
          <w:szCs w:val="24"/>
        </w:rPr>
        <w:t xml:space="preserve">Reformasi kebijakan mempertegas arah. Instruksi Gubernur (Ingub) No. 5/2026 (30 April 2026) mewajibkan pemilahan sampah dari sumber dan model </w:t>
      </w:r>
      <w:r>
        <w:rPr>
          <w:rFonts w:ascii="Times New Roman" w:cs="Times New Roman" w:eastAsia="Times New Roman" w:hAnsi="Times New Roman"/>
          <w:i/>
          <w:iCs/>
          <w:sz w:val="24"/>
          <w:szCs w:val="24"/>
        </w:rPr>
        <w:t xml:space="preserve">pilah-angkut-olah</w:t>
      </w:r>
      <w:r>
        <w:rPr>
          <w:rFonts w:ascii="Times New Roman" w:cs="Times New Roman" w:eastAsia="Times New Roman" w:hAnsi="Times New Roman"/>
          <w:sz w:val="24"/>
          <w:szCs w:val="24"/>
        </w:rPr>
        <w:t xml:space="preserve">; mulai 1 Agustus 2026, hanya residu yang boleh masuk ke Bantar Gebang (Pemerintah Provinsi DKI Jakarta, 2026a). Namun, tingkat pemilahan baru mencapai ±23,14% pada awal Agustus 2026 (TVRI News, 2026). Ada kesenjangan antara kebijakan dan pelaksanaannya — kesenjangan yang diisi </w:t>
      </w:r>
      <w:r>
        <w:rPr>
          <w:rFonts w:ascii="Times New Roman" w:cs="Times New Roman" w:eastAsia="Times New Roman" w:hAnsi="Times New Roman"/>
          <w:i/>
          <w:iCs/>
          <w:sz w:val="24"/>
          <w:szCs w:val="24"/>
        </w:rPr>
        <w:t xml:space="preserve">Alurin</w:t>
      </w:r>
      <w:r>
        <w:rPr>
          <w:rFonts w:ascii="Times New Roman" w:cs="Times New Roman" w:eastAsia="Times New Roman" w:hAnsi="Times New Roman"/>
          <w:sz w:val="24"/>
          <w:szCs w:val="24"/>
        </w:rPr>
        <w:t xml:space="preserve">.</w:t>
      </w:r>
    </w:p>
    <w:p>
      <w:pPr>
        <w:spacing w:after="0" w:line="360" w:lineRule="auto"/>
        <w:ind w:firstLine="709"/>
        <w:jc w:val="both"/>
      </w:pP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adalah platform </w:t>
      </w:r>
      <w:r>
        <w:rPr>
          <w:rFonts w:ascii="Times New Roman" w:cs="Times New Roman" w:eastAsia="Times New Roman" w:hAnsi="Times New Roman"/>
          <w:i/>
          <w:iCs/>
          <w:sz w:val="24"/>
          <w:szCs w:val="24"/>
        </w:rPr>
        <w:t xml:space="preserve">Green Technology</w:t>
      </w:r>
      <w:r>
        <w:rPr>
          <w:rFonts w:ascii="Times New Roman" w:cs="Times New Roman" w:eastAsia="Times New Roman" w:hAnsi="Times New Roman"/>
          <w:sz w:val="24"/>
          <w:szCs w:val="24"/>
        </w:rPr>
        <w:t xml:space="preserve"> B2B/B2G SaaS yang bertindak sebagai </w:t>
      </w:r>
      <w:r>
        <w:rPr>
          <w:rFonts w:ascii="Times New Roman" w:cs="Times New Roman" w:eastAsia="Times New Roman" w:hAnsi="Times New Roman"/>
          <w:i/>
          <w:iCs/>
          <w:sz w:val="24"/>
          <w:szCs w:val="24"/>
        </w:rPr>
        <w:t xml:space="preserve">execution and verification layer</w:t>
      </w:r>
      <w:r>
        <w:rPr>
          <w:rFonts w:ascii="Times New Roman" w:cs="Times New Roman" w:eastAsia="Times New Roman" w:hAnsi="Times New Roman"/>
          <w:sz w:val="24"/>
          <w:szCs w:val="24"/>
        </w:rPr>
        <w:t xml:space="preserve"> bagi agenda reformasi ini, dengan tiga komponen: sensor IoT </w:t>
      </w:r>
      <w:r>
        <w:rPr>
          <w:rFonts w:ascii="Times New Roman" w:cs="Times New Roman" w:eastAsia="Times New Roman" w:hAnsi="Times New Roman"/>
          <w:i/>
          <w:iCs/>
          <w:sz w:val="24"/>
          <w:szCs w:val="24"/>
        </w:rPr>
        <w:t xml:space="preserve">ultrasonic fill-level</w:t>
      </w:r>
      <w:r>
        <w:rPr>
          <w:rFonts w:ascii="Times New Roman" w:cs="Times New Roman" w:eastAsia="Times New Roman" w:hAnsi="Times New Roman"/>
          <w:sz w:val="24"/>
          <w:szCs w:val="24"/>
        </w:rPr>
        <w:t xml:space="preserve"> yang memantau kapasitas kontainer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Dynamic Routing AI</w:t>
      </w:r>
      <w:r>
        <w:rPr>
          <w:rFonts w:ascii="Times New Roman" w:cs="Times New Roman" w:eastAsia="Times New Roman" w:hAnsi="Times New Roman"/>
          <w:sz w:val="24"/>
          <w:szCs w:val="24"/>
        </w:rPr>
        <w:t xml:space="preserve"> yang menghitung rute pengangkutan paling efisien; dan </w:t>
      </w:r>
      <w:r>
        <w:rPr>
          <w:rFonts w:ascii="Times New Roman" w:cs="Times New Roman" w:eastAsia="Times New Roman" w:hAnsi="Times New Roman"/>
          <w:i/>
          <w:iCs/>
          <w:sz w:val="24"/>
          <w:szCs w:val="24"/>
        </w:rPr>
        <w:t xml:space="preserve">Predictive RDF Allocation System</w:t>
      </w:r>
      <w:r>
        <w:rPr>
          <w:rFonts w:ascii="Times New Roman" w:cs="Times New Roman" w:eastAsia="Times New Roman" w:hAnsi="Times New Roman"/>
          <w:sz w:val="24"/>
          <w:szCs w:val="24"/>
        </w:rPr>
        <w:t xml:space="preserve"> yang membantu menyalurkan sampah berpotensi kalor-tinggi ke RDF Rorotan. Melalui pendekatan </w:t>
      </w:r>
      <w:r>
        <w:rPr>
          <w:rFonts w:ascii="Times New Roman" w:cs="Times New Roman" w:eastAsia="Times New Roman" w:hAnsi="Times New Roman"/>
          <w:i/>
          <w:iCs/>
          <w:sz w:val="24"/>
          <w:szCs w:val="24"/>
        </w:rPr>
        <w:t xml:space="preserve">asset-light</w:t>
      </w:r>
      <w:r>
        <w:rPr>
          <w:rFonts w:ascii="Times New Roman" w:cs="Times New Roman" w:eastAsia="Times New Roman" w:hAnsi="Times New Roman"/>
          <w:sz w:val="24"/>
          <w:szCs w:val="24"/>
        </w:rPr>
        <w:t xml:space="preserve">, platform memanfaatkan armada truk eksisting dan sensor </w:t>
      </w:r>
      <w:r>
        <w:rPr>
          <w:rFonts w:ascii="Times New Roman" w:cs="Times New Roman" w:eastAsia="Times New Roman" w:hAnsi="Times New Roman"/>
          <w:i/>
          <w:iCs/>
          <w:sz w:val="24"/>
          <w:szCs w:val="24"/>
        </w:rPr>
        <w:t xml:space="preserve">pass-through</w:t>
      </w:r>
      <w:r>
        <w:rPr>
          <w:rFonts w:ascii="Times New Roman" w:cs="Times New Roman" w:eastAsia="Times New Roman" w:hAnsi="Times New Roman"/>
          <w:sz w:val="24"/>
          <w:szCs w:val="24"/>
        </w:rPr>
        <w:t xml:space="preserve">, sehingga tidak memerlukan investasi modal besar.</w:t>
      </w:r>
    </w:p>
    <w:p>
      <w:pPr>
        <w:spacing w:after="0" w:line="360" w:lineRule="auto"/>
        <w:ind w:firstLine="709"/>
        <w:jc w:val="both"/>
      </w:pPr>
      <w:r>
        <w:rPr>
          <w:rFonts w:ascii="Times New Roman" w:cs="Times New Roman" w:eastAsia="Times New Roman" w:hAnsi="Times New Roman"/>
          <w:sz w:val="24"/>
          <w:szCs w:val="24"/>
        </w:rPr>
        <w:t xml:space="preserve">Model bisnis menghasilkan dua aliran pendapatan: </w:t>
      </w:r>
      <w:r>
        <w:rPr>
          <w:rFonts w:ascii="Times New Roman" w:cs="Times New Roman" w:eastAsia="Times New Roman" w:hAnsi="Times New Roman"/>
          <w:i/>
          <w:iCs/>
          <w:sz w:val="24"/>
          <w:szCs w:val="24"/>
        </w:rPr>
        <w:t xml:space="preserve">Business to Government</w:t>
      </w:r>
      <w:r>
        <w:rPr>
          <w:rFonts w:ascii="Times New Roman" w:cs="Times New Roman" w:eastAsia="Times New Roman" w:hAnsi="Times New Roman"/>
          <w:sz w:val="24"/>
          <w:szCs w:val="24"/>
        </w:rPr>
        <w:t xml:space="preserve"> (lisensi SaaS tahunan, dimulai tahun kedua mengikuti siklus pengadaan </w:t>
      </w:r>
      <w:r>
        <w:rPr>
          <w:rFonts w:ascii="Times New Roman" w:cs="Times New Roman" w:eastAsia="Times New Roman" w:hAnsi="Times New Roman"/>
          <w:i/>
          <w:iCs/>
          <w:sz w:val="24"/>
          <w:szCs w:val="24"/>
        </w:rPr>
        <w:t xml:space="preserve">e-Katalog</w:t>
      </w:r>
      <w:r>
        <w:rPr>
          <w:rFonts w:ascii="Times New Roman" w:cs="Times New Roman" w:eastAsia="Times New Roman" w:hAnsi="Times New Roman"/>
          <w:sz w:val="24"/>
          <w:szCs w:val="24"/>
        </w:rPr>
        <w:t xml:space="preserve">/LKPP) dan </w:t>
      </w:r>
      <w:r>
        <w:rPr>
          <w:rFonts w:ascii="Times New Roman" w:cs="Times New Roman" w:eastAsia="Times New Roman" w:hAnsi="Times New Roman"/>
          <w:i/>
          <w:iCs/>
          <w:sz w:val="24"/>
          <w:szCs w:val="24"/>
        </w:rPr>
        <w:t xml:space="preserve">Business to Business</w:t>
      </w:r>
      <w:r>
        <w:rPr>
          <w:rFonts w:ascii="Times New Roman" w:cs="Times New Roman" w:eastAsia="Times New Roman" w:hAnsi="Times New Roman"/>
          <w:sz w:val="24"/>
          <w:szCs w:val="24"/>
        </w:rPr>
        <w:t xml:space="preserve"> (langganan bulanan per kontainer + penjualan unit sensor) bagi pengelola kawasan mandiri, mal, atau vendor swasta.</w:t>
      </w:r>
    </w:p>
    <w:p>
      <w:pPr>
        <w:spacing w:after="0" w:line="360" w:lineRule="auto"/>
        <w:ind w:firstLine="709"/>
        <w:jc w:val="both"/>
      </w:pPr>
      <w:r>
        <w:rPr>
          <w:rFonts w:ascii="Times New Roman" w:cs="Times New Roman" w:eastAsia="Times New Roman" w:hAnsi="Times New Roman"/>
          <w:sz w:val="24"/>
          <w:szCs w:val="24"/>
        </w:rPr>
        <w:t xml:space="preserve">Proyeksi keuangan lima tahun menunjukkan kelayakan: modal awal ±Rp528,5 juta, NPV positif ±Rp975 juta pada diskonto 12%, IRR ±31,6%, dan NPV tetap positif hingga diskonto ±30%. Pada skenario konservatif (pendapatan −20%, biaya +20%), proyek belum layak — menegaskan pentingnya pencapaian target akuisisi. </w:t>
      </w: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mengubah tata kelola sampah analog menjadi ekosistem </w:t>
      </w:r>
      <w:r>
        <w:rPr>
          <w:rFonts w:ascii="Times New Roman" w:cs="Times New Roman" w:eastAsia="Times New Roman" w:hAnsi="Times New Roman"/>
          <w:i/>
          <w:iCs/>
          <w:sz w:val="24"/>
          <w:szCs w:val="24"/>
        </w:rPr>
        <w:t xml:space="preserve">smart logistics</w:t>
      </w:r>
      <w:r>
        <w:rPr>
          <w:rFonts w:ascii="Times New Roman" w:cs="Times New Roman" w:eastAsia="Times New Roman" w:hAnsi="Times New Roman"/>
          <w:sz w:val="24"/>
          <w:szCs w:val="24"/>
        </w:rPr>
        <w:t xml:space="preserve"> yang siap terhubung dengan agenda reformasi pengelolaan sampah DKI Jakarta.</w:t>
      </w:r>
    </w:p>
    <w:p>
      <w:pPr>
        <w:sectPr>
          <w:footerReference w:type="default" r:id="rId7"/>
          <w:pgSz w:w="11906" w:h="16838" w:orient="portrait"/>
          <w:pgMar w:top="1701" w:right="1701" w:bottom="1701" w:left="2268" w:header="708" w:footer="708" w:gutter="0"/>
          <w:pgNumType/>
          <w:titlePg w:val="false"/>
          <w:docGrid w:linePitch="360"/>
        </w:sectPr>
      </w:pPr>
    </w:p>
    <w:p>
      <w:pPr>
        <w:spacing w:after="0" w:before="160" w:line="360" w:lineRule="auto"/>
        <w:jc w:val="center"/>
      </w:pPr>
      <w:r>
        <w:rPr>
          <w:rFonts w:ascii="Times New Roman" w:cs="Times New Roman" w:eastAsia="Times New Roman" w:hAnsi="Times New Roman"/>
          <w:b/>
          <w:bCs/>
          <w:sz w:val="28"/>
          <w:szCs w:val="28"/>
        </w:rPr>
        <w:t xml:space="preserve">Bab 1</w:t>
      </w:r>
    </w:p>
    <w:p>
      <w:pPr>
        <w:spacing w:after="100" w:before="0" w:line="360" w:lineRule="auto"/>
        <w:jc w:val="center"/>
      </w:pPr>
      <w:r>
        <w:rPr>
          <w:rFonts w:ascii="Times New Roman" w:cs="Times New Roman" w:eastAsia="Times New Roman" w:hAnsi="Times New Roman"/>
          <w:b/>
          <w:bCs/>
          <w:sz w:val="28"/>
          <w:szCs w:val="28"/>
        </w:rPr>
        <w:t xml:space="preserve">Pendahuluan</w:t>
      </w:r>
    </w:p>
    <w:p>
      <w:pPr>
        <w:spacing w:after="40" w:before="100" w:line="360" w:lineRule="auto"/>
        <w:jc w:val="left"/>
      </w:pPr>
      <w:r>
        <w:rPr>
          <w:rFonts w:ascii="Times New Roman" w:cs="Times New Roman" w:eastAsia="Times New Roman" w:hAnsi="Times New Roman"/>
          <w:b/>
          <w:bCs/>
          <w:sz w:val="24"/>
          <w:szCs w:val="24"/>
        </w:rPr>
        <w:t xml:space="preserve">1.1. Latar Belakang Bisnis</w:t>
      </w:r>
    </w:p>
    <w:p>
      <w:pPr>
        <w:spacing w:after="0" w:line="360" w:lineRule="auto"/>
        <w:ind w:firstLine="709"/>
        <w:jc w:val="both"/>
      </w:pPr>
      <w:r>
        <w:rPr>
          <w:rFonts w:ascii="Times New Roman" w:cs="Times New Roman" w:eastAsia="Times New Roman" w:hAnsi="Times New Roman"/>
          <w:sz w:val="24"/>
          <w:szCs w:val="24"/>
        </w:rPr>
        <w:t xml:space="preserve">Tempat Pemrosesan Akhir (TPA) Bantar Gebang, yang pada 2025 menerima rata-rata ±7.354 ton sampah per hari dari DKI Jakarta dan sempat menembus ±7.800–8.000 ton/hari pada 2026 (Kompas, 2026a; BBC News Indonesia, 2026), berada dalam kondisi kritis. Volume sampah yang masuk menekan kapasitas landfill yang telah melampaui desain, sehingga TPST berstatus </w:t>
      </w:r>
      <w:r>
        <w:rPr>
          <w:rFonts w:ascii="Times New Roman" w:cs="Times New Roman" w:eastAsia="Times New Roman" w:hAnsi="Times New Roman"/>
          <w:i/>
          <w:iCs/>
          <w:sz w:val="24"/>
          <w:szCs w:val="24"/>
        </w:rPr>
        <w:t xml:space="preserve">overload</w:t>
      </w:r>
      <w:r>
        <w:rPr>
          <w:rFonts w:ascii="Times New Roman" w:cs="Times New Roman" w:eastAsia="Times New Roman" w:hAnsi="Times New Roman"/>
          <w:sz w:val="24"/>
          <w:szCs w:val="24"/>
        </w:rPr>
        <w:t xml:space="preserve"> (Koran Jakarta, 2025); total timbulan sampah Jakarta sendiri diperkirakan ±9.000 ton/hari bila memperhitungkan komuter dan sektor informal (Kompas, 2026b). Krisis ini bukan sekadar soal kapasitas: pada 8 Maret 2026, longsor sampah di Zona 4A TPST Bantar Gebang menewaskan tujuh orang dan menghentikan operasi zona tersebut; Gubernur DKI Jakarta menutup Zona 4A, mengalihkan operasional ke Zona 3, dan menyiapkan dua zona sementara (BBC News Indonesia, 2026). Insiden ini menjadi peringatan nyata bahwa penumpukan sampah tanpa tata kelola logistik yang baik menimbulkan risiko fisik dan sosial langsung bagi warga.</w:t>
      </w:r>
    </w:p>
    <w:p>
      <w:pPr>
        <w:spacing w:after="0" w:line="360" w:lineRule="auto"/>
        <w:ind w:firstLine="709"/>
        <w:jc w:val="both"/>
      </w:pPr>
      <w:r>
        <w:rPr>
          <w:rFonts w:ascii="Times New Roman" w:cs="Times New Roman" w:eastAsia="Times New Roman" w:hAnsi="Times New Roman"/>
          <w:sz w:val="24"/>
          <w:szCs w:val="24"/>
        </w:rPr>
        <w:t xml:space="preserve">Di sisi pengolahan, Pemerintah DKI Jakarta telah membangun RDF (</w:t>
      </w:r>
      <w:r>
        <w:rPr>
          <w:rFonts w:ascii="Times New Roman" w:cs="Times New Roman" w:eastAsia="Times New Roman" w:hAnsi="Times New Roman"/>
          <w:i/>
          <w:iCs/>
          <w:sz w:val="24"/>
          <w:szCs w:val="24"/>
        </w:rPr>
        <w:t xml:space="preserve">Refuse Derived Fuel</w:t>
      </w:r>
      <w:r>
        <w:rPr>
          <w:rFonts w:ascii="Times New Roman" w:cs="Times New Roman" w:eastAsia="Times New Roman" w:hAnsi="Times New Roman"/>
          <w:sz w:val="24"/>
          <w:szCs w:val="24"/>
        </w:rPr>
        <w:t xml:space="preserve">) Plant Rorotan di Cilincing — mulai beroperasi bertahap sejak Desember 2025 dengan kapasitas terpasang 2.200–2.400 ton/hari pada tiga lini produksi, namun per Agustus 2026 baru satu lini (±800 ton/hari) yang berjalan penuh (ANTARA News, 2026). Kendala utamanya bukan pada mesin, melainkan pada logistik: Gubernur Pramono Anung menyatakan bahwa beroperasinya seluruh lini “sangat bergantung pada transportasi,” dan pada pasokan ±1.000 ton/hari hanya satu lini (dan sebagian lini kedua) yang dapat berjalan (Kompas, 2026c). Dengan kata lain, kapasitas pengolahan RDF sudah tersedia, tetapi terhambat oleh ketiadaan sistem yang mengarahkan sampah bermutu kalor ke pabrik secara konsisten.</w:t>
      </w:r>
    </w:p>
    <w:p>
      <w:pPr>
        <w:spacing w:after="0" w:line="360" w:lineRule="auto"/>
        <w:ind w:firstLine="709"/>
        <w:jc w:val="both"/>
      </w:pPr>
      <w:r>
        <w:rPr>
          <w:rFonts w:ascii="Times New Roman" w:cs="Times New Roman" w:eastAsia="Times New Roman" w:hAnsi="Times New Roman"/>
          <w:sz w:val="24"/>
          <w:szCs w:val="24"/>
        </w:rPr>
        <w:t xml:space="preserve">Sistem pengelolaan sampah kota masih bertumpu pada pola pengangkutan yang statis dan berbasis jadwal, bukan berbasis volume, yang menciptakan empat inefisiensi kritis: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14"/>
        <w:gridCol w:w="6123"/>
      </w:tblGrid>
      <w:tr>
        <w:trPr>
          <w:tblHeader/>
        </w:trPr>
        <w:tc>
          <w:tcPr>
            <w:tcW w:type="dxa" w:w="18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Inefisiensi</w:t>
            </w:r>
          </w:p>
        </w:tc>
        <w:tc>
          <w:tcPr>
            <w:tcW w:type="dxa" w:w="612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Dampak dan data</w:t>
            </w:r>
          </w:p>
        </w:tc>
      </w:tr>
      <w:tr>
        <w:tc>
          <w:tcPr>
            <w:tcW w:type="dxa" w:w="181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Operasional &amp; BBM</w:t>
            </w:r>
          </w:p>
        </w:tc>
        <w:tc>
          <w:tcPr>
            <w:tcW w:type="dxa" w:w="612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Armada berjalan dengan rute tetap: menjemput kontainer yang belum penuh, atau terlambat pada kontainer yang meluap.</w:t>
            </w:r>
          </w:p>
        </w:tc>
      </w:tr>
      <w:tr>
        <w:tc>
          <w:tcPr>
            <w:tcW w:type="dxa" w:w="181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Emisi metana &amp; kebakaran</w:t>
            </w:r>
          </w:p>
        </w:tc>
        <w:tc>
          <w:tcPr>
            <w:tcW w:type="dxa" w:w="612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Penumpukan tanpa pemilahan memicu dekomposisi anaerobik; metana (CH</w:t>
            </w:r>
            <w:r>
              <w:rPr>
                <w:rFonts w:ascii="Times New Roman" w:cs="Times New Roman" w:eastAsia="Times New Roman" w:hAnsi="Times New Roman"/>
                <w:sz w:val="20"/>
                <w:szCs w:val="20"/>
                <w:vertAlign w:val="subscript"/>
              </w:rPr>
              <w:t xml:space="preserve">4</w:t>
            </w:r>
            <w:r>
              <w:rPr>
                <w:rFonts w:ascii="Times New Roman" w:cs="Times New Roman" w:eastAsia="Times New Roman" w:hAnsi="Times New Roman"/>
                <w:sz w:val="24"/>
                <w:szCs w:val="24"/>
              </w:rPr>
              <w:t xml:space="preserve">) ber-GWP 27–30×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(IPCC AR6) (IPCC, 2021); dikaitkan dengan kebakaran Bantar Gebang 2015 &amp; 2023 (BBC News Indonesia, 2026); longsor Maret 2026 menunjukkan risiko serupa (BBC News Indonesia, 2026).</w:t>
            </w:r>
          </w:p>
        </w:tc>
      </w:tr>
      <w:tr>
        <w:tc>
          <w:tcPr>
            <w:tcW w:type="dxa" w:w="181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Kerapuhan pasokan RDF</w:t>
            </w:r>
          </w:p>
        </w:tc>
        <w:tc>
          <w:tcPr>
            <w:tcW w:type="dxa" w:w="612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Off-taker PT Indocement Tunggal Prakarsa (perjanjian jual-beli RDF dengan Rorotan sejak Des 2025; Tempo, 2025) mensyaratkan RDF ≥3.000 kkal/kg LHV, kadar air ≤20%, partikel ≤5 cm (SNI 9313:2024; Badan Standardisasi Nasional, 2024); sampah mentah Bantar Gebang rata-rata ±1.747 kkal/kg dengan kadar air 31,8% (Prosiding SAINTEK, 2022). Tanpa pemetaan TPS, sampah basah/kering bercampur sejak awal.</w:t>
            </w:r>
          </w:p>
        </w:tc>
      </w:tr>
      <w:tr>
        <w:tc>
          <w:tcPr>
            <w:tcW w:type="dxa" w:w="181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Transparansi ESG</w:t>
            </w:r>
          </w:p>
        </w:tc>
        <w:tc>
          <w:tcPr>
            <w:tcW w:type="dxa" w:w="612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Pengelola kawasan komersial wajib pengelolaan sampah mandiri (Pergub 102/2021) (Pemerintah Provinsi DKI Jakarta, 2021); emiten/afiliasinya wajib pelaporan POJK 51/2017 (Otoritas Jasa Keuangan, 2017); investor menuntut data lingkungan.</w:t>
            </w:r>
          </w:p>
        </w:tc>
      </w:tr>
    </w:tbl>
    <w:p>
      <w:pPr>
        <w:spacing w:after="120" w:before="40" w:line="240" w:lineRule="auto"/>
        <w:jc w:val="center"/>
      </w:pPr>
      <w:r>
        <w:rPr>
          <w:rFonts w:ascii="Times New Roman" w:cs="Times New Roman" w:eastAsia="Times New Roman" w:hAnsi="Times New Roman"/>
          <w:i/>
          <w:iCs/>
          <w:sz w:val="20"/>
          <w:szCs w:val="20"/>
        </w:rPr>
        <w:t xml:space="preserve">Tabel 1. Empat inefisiensi kritis pengelolaan sampah DKI Jakarta</w:t>
      </w:r>
    </w:p>
    <w:p>
      <w:pPr>
        <w:spacing w:after="0" w:line="360" w:lineRule="auto"/>
        <w:ind w:firstLine="709"/>
        <w:jc w:val="both"/>
      </w:pPr>
      <w:r>
        <w:rPr>
          <w:rFonts w:ascii="Times New Roman" w:cs="Times New Roman" w:eastAsia="Times New Roman" w:hAnsi="Times New Roman"/>
          <w:sz w:val="24"/>
          <w:szCs w:val="24"/>
        </w:rPr>
        <w:t xml:space="preserve">Reformasi kebijakan DKI Jakarta mempertegas arah ini. Instruksi Gubernur (Ingub) No. 5/2026 tentang Gerakan Pemilahan dan Pengolahan Sampah dari Sumber, ditetapkan 30 April 2026, mewajibkan pemilahan sampah di sumber menjadi empat kategori (organik, anorganik, B3, residu) serta model </w:t>
      </w:r>
      <w:r>
        <w:rPr>
          <w:rFonts w:ascii="Times New Roman" w:cs="Times New Roman" w:eastAsia="Times New Roman" w:hAnsi="Times New Roman"/>
          <w:i/>
          <w:iCs/>
          <w:sz w:val="24"/>
          <w:szCs w:val="24"/>
        </w:rPr>
        <w:t xml:space="preserve">pilah-angkut-olah</w:t>
      </w:r>
      <w:r>
        <w:rPr>
          <w:rFonts w:ascii="Times New Roman" w:cs="Times New Roman" w:eastAsia="Times New Roman" w:hAnsi="Times New Roman"/>
          <w:sz w:val="24"/>
          <w:szCs w:val="24"/>
        </w:rPr>
        <w:t xml:space="preserve"> (Pemerintah Provinsi DKI Jakarta, 2026a). Mulai 1 Agustus 2026, hanya sampah residu yang boleh masuk ke Bantar Gebang, sebagai fase menuju penghentian </w:t>
      </w:r>
      <w:r>
        <w:rPr>
          <w:rFonts w:ascii="Times New Roman" w:cs="Times New Roman" w:eastAsia="Times New Roman" w:hAnsi="Times New Roman"/>
          <w:i/>
          <w:iCs/>
          <w:sz w:val="24"/>
          <w:szCs w:val="24"/>
        </w:rPr>
        <w:t xml:space="preserve">open dumping</w:t>
      </w:r>
      <w:r>
        <w:rPr>
          <w:rFonts w:ascii="Times New Roman" w:cs="Times New Roman" w:eastAsia="Times New Roman" w:hAnsi="Times New Roman"/>
          <w:sz w:val="24"/>
          <w:szCs w:val="24"/>
        </w:rPr>
        <w:t xml:space="preserve"> pada 2029 (Pemerintah Provinsi DKI Jakarta, 2026a). Pemerintah DKI mencatat 8.615 fasilitas pendukung pengelolaan sampah, termasuk 2.247 bank sampah dan 31 TPS 3R, dengan tingkat pemilahan baru mencapai ±23,14% pada awal Agustus 2026 (TVRI News, 2026). Artinya, struktur kebijakan dan fasilitas sudah terbangun, tetapi mata rantai yang hilang adalah </w:t>
      </w:r>
      <w:r>
        <w:rPr>
          <w:rFonts w:ascii="Times New Roman" w:cs="Times New Roman" w:eastAsia="Times New Roman" w:hAnsi="Times New Roman"/>
          <w:b/>
          <w:bCs/>
          <w:sz w:val="24"/>
          <w:szCs w:val="24"/>
        </w:rPr>
        <w:t xml:space="preserve">sistem yang memverifikasi kepatuhan pemilahan, melacak arus sampah terpilah, dan mengoptimalkan pengangkutannya</w:t>
      </w:r>
      <w:r>
        <w:rPr>
          <w:rFonts w:ascii="Times New Roman" w:cs="Times New Roman" w:eastAsia="Times New Roman" w:hAnsi="Times New Roman"/>
          <w:sz w:val="24"/>
          <w:szCs w:val="24"/>
        </w:rPr>
        <w:t xml:space="preserve"> menuju fasilitas pengolahan. Di sinilah </w:t>
      </w: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berperan.</w:t>
      </w:r>
    </w:p>
    <w:p>
      <w:pPr>
        <w:spacing w:after="0" w:line="360" w:lineRule="auto"/>
        <w:ind w:firstLine="709"/>
        <w:jc w:val="both"/>
      </w:pP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hadir sebagai </w:t>
      </w:r>
      <w:r>
        <w:rPr>
          <w:rFonts w:ascii="Times New Roman" w:cs="Times New Roman" w:eastAsia="Times New Roman" w:hAnsi="Times New Roman"/>
          <w:i/>
          <w:iCs/>
          <w:sz w:val="24"/>
          <w:szCs w:val="24"/>
        </w:rPr>
        <w:t xml:space="preserve">execution and verification layer</w:t>
      </w:r>
      <w:r>
        <w:rPr>
          <w:rFonts w:ascii="Times New Roman" w:cs="Times New Roman" w:eastAsia="Times New Roman" w:hAnsi="Times New Roman"/>
          <w:sz w:val="24"/>
          <w:szCs w:val="24"/>
        </w:rPr>
        <w:t xml:space="preserve"> bagi agenda reformasi ini melalui pendekatan </w:t>
      </w:r>
      <w:r>
        <w:rPr>
          <w:rFonts w:ascii="Times New Roman" w:cs="Times New Roman" w:eastAsia="Times New Roman" w:hAnsi="Times New Roman"/>
          <w:i/>
          <w:iCs/>
          <w:sz w:val="24"/>
          <w:szCs w:val="24"/>
        </w:rPr>
        <w:t xml:space="preserve">asset-light</w:t>
      </w:r>
      <w:r>
        <w:rPr>
          <w:rFonts w:ascii="Times New Roman" w:cs="Times New Roman" w:eastAsia="Times New Roman" w:hAnsi="Times New Roman"/>
          <w:sz w:val="24"/>
          <w:szCs w:val="24"/>
        </w:rPr>
        <w:t xml:space="preserve"> B2B/B2G SaaS. Dengan mengkombinasikan sensor IoT </w:t>
      </w:r>
      <w:r>
        <w:rPr>
          <w:rFonts w:ascii="Times New Roman" w:cs="Times New Roman" w:eastAsia="Times New Roman" w:hAnsi="Times New Roman"/>
          <w:i/>
          <w:iCs/>
          <w:sz w:val="24"/>
          <w:szCs w:val="24"/>
        </w:rPr>
        <w:t xml:space="preserve">ultrasonic fill-level</w:t>
      </w:r>
      <w:r>
        <w:rPr>
          <w:rFonts w:ascii="Times New Roman" w:cs="Times New Roman" w:eastAsia="Times New Roman" w:hAnsi="Times New Roman"/>
          <w:sz w:val="24"/>
          <w:szCs w:val="24"/>
        </w:rPr>
        <w:t xml:space="preserve">, algoritma </w:t>
      </w:r>
      <w:r>
        <w:rPr>
          <w:rFonts w:ascii="Times New Roman" w:cs="Times New Roman" w:eastAsia="Times New Roman" w:hAnsi="Times New Roman"/>
          <w:i/>
          <w:iCs/>
          <w:sz w:val="24"/>
          <w:szCs w:val="24"/>
        </w:rPr>
        <w:t xml:space="preserve">Dynamic Routing AI</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Predictive RDF Allocation 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merestrukturisasi manajemen sampah dari sekadar aktivitas pembuangan menjadi rantai logistik yang presisi. Platform ini tidak hanya menghemat anggaran operasional pengangkut sampah, tetapi juga membantu menyalurkan sampah bernilai kalor tinggi agar lebih siap diproses oleh industri RDF, sehingga turut meringankan tekanan terhadap daya tampung Bantar Gebang dan mendukung pasokan penuh lini RDF Rorotan.</w:t>
      </w:r>
    </w:p>
    <w:p>
      <w:pPr>
        <w:spacing w:after="40" w:before="100" w:line="360" w:lineRule="auto"/>
        <w:jc w:val="left"/>
      </w:pPr>
      <w:r>
        <w:rPr>
          <w:rFonts w:ascii="Times New Roman" w:cs="Times New Roman" w:eastAsia="Times New Roman" w:hAnsi="Times New Roman"/>
          <w:b/>
          <w:bCs/>
          <w:sz w:val="24"/>
          <w:szCs w:val="24"/>
        </w:rPr>
        <w:t xml:space="preserve">1.2. Tujuan Bisnis</w:t>
      </w:r>
    </w:p>
    <w:p>
      <w:pPr>
        <w:spacing w:after="0" w:line="360" w:lineRule="auto"/>
        <w:ind w:firstLine="709"/>
        <w:jc w:val="both"/>
      </w:pPr>
      <w:r>
        <w:rPr>
          <w:rFonts w:ascii="Times New Roman" w:cs="Times New Roman" w:eastAsia="Times New Roman" w:hAnsi="Times New Roman"/>
          <w:sz w:val="24"/>
          <w:szCs w:val="24"/>
        </w:rPr>
        <w:t xml:space="preserve">Tujuan bisnis </w:t>
      </w: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dirancang dengan prinsip SMART (</w:t>
      </w:r>
      <w:r>
        <w:rPr>
          <w:rFonts w:ascii="Times New Roman" w:cs="Times New Roman" w:eastAsia="Times New Roman" w:hAnsi="Times New Roman"/>
          <w:i/>
          <w:iCs/>
          <w:sz w:val="24"/>
          <w:szCs w:val="24"/>
        </w:rPr>
        <w:t xml:space="preserve">Specific, Measurable, Achievable, Relevant, Time-bound</w:t>
      </w:r>
      <w:r>
        <w:rPr>
          <w:rFonts w:ascii="Times New Roman" w:cs="Times New Roman" w:eastAsia="Times New Roman" w:hAnsi="Times New Roman"/>
          <w:sz w:val="24"/>
          <w:szCs w:val="24"/>
        </w:rPr>
        <w:t xml:space="preserve">) dalam tiga dimensi: operasional &amp; teknologi, finansial &amp; komersial, serta lingkungan &amp; sosial (ESG).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4252"/>
        <w:gridCol w:w="1701"/>
      </w:tblGrid>
      <w:tr>
        <w:trPr>
          <w:tblHeader/>
        </w:trPr>
        <w:tc>
          <w:tcPr>
            <w:tcW w:type="dxa" w:w="198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Tujuan</w:t>
            </w:r>
          </w:p>
        </w:tc>
        <w:tc>
          <w:tcPr>
            <w:tcW w:type="dxa" w:w="425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Target kuantitatif</w:t>
            </w:r>
          </w:p>
        </w:tc>
        <w:tc>
          <w:tcPr>
            <w:tcW w:type="dxa" w:w="17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Horizon</w:t>
            </w:r>
          </w:p>
        </w:tc>
      </w:tr>
      <w:tr>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Penetrasi IoT</w:t>
            </w:r>
          </w:p>
        </w:tc>
        <w:tc>
          <w:tcPr>
            <w:tcW w:type="dxa" w:w="425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75 → 400 → 1.000 unit terhubung</w:t>
            </w:r>
          </w:p>
        </w:tc>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Y1 → Y2 → Y3</w:t>
            </w:r>
          </w:p>
        </w:tc>
      </w:tr>
      <w:tr>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Akurasi alokasi RDF</w:t>
            </w:r>
          </w:p>
        </w:tc>
        <w:tc>
          <w:tcPr>
            <w:tcW w:type="dxa" w:w="425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&gt;80% prediksi kelayakan (proxy, Bab 2.1)</w:t>
            </w:r>
          </w:p>
        </w:tc>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Y1–Y3</w:t>
            </w:r>
          </w:p>
        </w:tc>
      </w:tr>
      <w:tr>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Finansial</w:t>
            </w:r>
          </w:p>
        </w:tc>
        <w:tc>
          <w:tcPr>
            <w:tcW w:type="dxa" w:w="425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ARR positif Y1; GRR &gt;90% mulai Y2; margin kotor &gt;55% Y3</w:t>
            </w:r>
          </w:p>
        </w:tc>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Y1–Y3</w:t>
            </w:r>
          </w:p>
        </w:tc>
      </w:tr>
      <w:tr>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Efisiensi rute</w:t>
            </w:r>
          </w:p>
        </w:tc>
        <w:tc>
          <w:tcPr>
            <w:tcW w:type="dxa" w:w="425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Reduksi BBM/operasional 30–40%</w:t>
            </w:r>
          </w:p>
        </w:tc>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Y1–Y2</w:t>
            </w:r>
          </w:p>
        </w:tc>
      </w:tr>
      <w:tr>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Lingkungan</w:t>
            </w:r>
          </w:p>
        </w:tc>
        <w:tc>
          <w:tcPr>
            <w:tcW w:type="dxa" w:w="425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50.000–100.000 ton kalor-tinggi/tahun ke RDF Rorotan</w:t>
            </w:r>
          </w:p>
        </w:tc>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Y3</w:t>
            </w:r>
          </w:p>
        </w:tc>
      </w:tr>
      <w:tr>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Kepatuhan</w:t>
            </w:r>
          </w:p>
        </w:tc>
        <w:tc>
          <w:tcPr>
            <w:tcW w:type="dxa" w:w="425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100% kontainer tercatat kepatuhan Ingub 5/2026</w:t>
            </w:r>
          </w:p>
        </w:tc>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Y1–Y3</w:t>
            </w:r>
          </w:p>
        </w:tc>
      </w:tr>
    </w:tbl>
    <w:p>
      <w:pPr>
        <w:spacing w:after="120" w:before="40" w:line="240" w:lineRule="auto"/>
        <w:jc w:val="center"/>
      </w:pPr>
      <w:r>
        <w:rPr>
          <w:rFonts w:ascii="Times New Roman" w:cs="Times New Roman" w:eastAsia="Times New Roman" w:hAnsi="Times New Roman"/>
          <w:i/>
          <w:iCs/>
          <w:sz w:val="20"/>
          <w:szCs w:val="20"/>
        </w:rPr>
        <w:t xml:space="preserve">Tabel 2. Target SMART Alurin (asumsi target tim; proyeksi keuangan di Bab 5)</w:t>
      </w:r>
    </w:p>
    <w:p>
      <w:pPr>
        <w:spacing w:after="0" w:line="360" w:lineRule="auto"/>
        <w:ind w:firstLine="709"/>
        <w:jc w:val="both"/>
      </w:pPr>
      <w:r>
        <w:rPr>
          <w:rFonts w:ascii="Times New Roman" w:cs="Times New Roman" w:eastAsia="Times New Roman" w:hAnsi="Times New Roman"/>
          <w:sz w:val="24"/>
          <w:szCs w:val="24"/>
        </w:rPr>
        <w:t xml:space="preserve">Target kuantitatif dirinci pada Tabel di atas. Indikator kunci: </w:t>
      </w:r>
      <w:r>
        <w:rPr>
          <w:rFonts w:ascii="Times New Roman" w:cs="Times New Roman" w:eastAsia="Times New Roman" w:hAnsi="Times New Roman"/>
          <w:i/>
          <w:iCs/>
          <w:sz w:val="24"/>
          <w:szCs w:val="24"/>
        </w:rPr>
        <w:t xml:space="preserve">gross revenue retention</w:t>
      </w:r>
      <w:r>
        <w:rPr>
          <w:rFonts w:ascii="Times New Roman" w:cs="Times New Roman" w:eastAsia="Times New Roman" w:hAnsi="Times New Roman"/>
          <w:sz w:val="24"/>
          <w:szCs w:val="24"/>
        </w:rPr>
        <w:t xml:space="preserve"> &gt;90% mulai tahun kedua, konsisten dengan median industri B2B SaaS (GRR 91%) (SaaS Capital, 2023); </w:t>
      </w:r>
      <w:r>
        <w:rPr>
          <w:rFonts w:ascii="Times New Roman" w:cs="Times New Roman" w:eastAsia="Times New Roman" w:hAnsi="Times New Roman"/>
          <w:i/>
          <w:iCs/>
          <w:sz w:val="24"/>
          <w:szCs w:val="24"/>
        </w:rPr>
        <w:t xml:space="preserve">gross profit margin</w:t>
      </w:r>
      <w:r>
        <w:rPr>
          <w:rFonts w:ascii="Times New Roman" w:cs="Times New Roman" w:eastAsia="Times New Roman" w:hAnsi="Times New Roman"/>
          <w:sz w:val="24"/>
          <w:szCs w:val="24"/>
        </w:rPr>
        <w:t xml:space="preserve"> &gt;55% pada tahun ketiga (Bab 5.3); serta akurasi prediksi </w:t>
      </w:r>
      <w:r>
        <w:rPr>
          <w:rFonts w:ascii="Times New Roman" w:cs="Times New Roman" w:eastAsia="Times New Roman" w:hAnsi="Times New Roman"/>
          <w:i/>
          <w:iCs/>
          <w:sz w:val="24"/>
          <w:szCs w:val="24"/>
        </w:rPr>
        <w:t xml:space="preserve">kelayakan</w:t>
      </w:r>
      <w:r>
        <w:rPr>
          <w:rFonts w:ascii="Times New Roman" w:cs="Times New Roman" w:eastAsia="Times New Roman" w:hAnsi="Times New Roman"/>
          <w:sz w:val="24"/>
          <w:szCs w:val="24"/>
        </w:rPr>
        <w:t xml:space="preserve"> RDF &gt;80% — sebagaimana dijelaskan di Bab 2.1, akurasi ini mengukur kesesuaian </w:t>
      </w:r>
      <w:r>
        <w:rPr>
          <w:rFonts w:ascii="Times New Roman" w:cs="Times New Roman" w:eastAsia="Times New Roman" w:hAnsi="Times New Roman"/>
          <w:i/>
          <w:iCs/>
          <w:sz w:val="24"/>
          <w:szCs w:val="24"/>
        </w:rPr>
        <w:t xml:space="preserve">proxy classifier</w:t>
      </w:r>
      <w:r>
        <w:rPr>
          <w:rFonts w:ascii="Times New Roman" w:cs="Times New Roman" w:eastAsia="Times New Roman" w:hAnsi="Times New Roman"/>
          <w:sz w:val="24"/>
          <w:szCs w:val="24"/>
        </w:rPr>
        <w:t xml:space="preserve"> berbasis data (kategori sumber, kepatuhan pemilahan, aset historis, curah hujan) terhadap analisis proksimat aktual, bukan pengukuran nilai kalor langsung. Pengalihan 50.000–100.000 ton/tahun kalor-tinggi ke Rorotan setara 17–34% dari throughput Rorotan saat ini ±800 ton/hari ≈ 292.000 ton/tahun (ANTARA News, 2026) (atau 6–11% dari kapasitas penuh 2.400 ton/hari), sekaligus menekan potensi pembentukan metana dan jejak karbon transportasi.</w:t>
      </w:r>
    </w:p>
    <w:p>
      <w:pPr>
        <w:spacing w:after="40" w:before="100" w:line="360" w:lineRule="auto"/>
        <w:jc w:val="left"/>
      </w:pPr>
      <w:r>
        <w:rPr>
          <w:rFonts w:ascii="Times New Roman" w:cs="Times New Roman" w:eastAsia="Times New Roman" w:hAnsi="Times New Roman"/>
          <w:b/>
          <w:bCs/>
          <w:sz w:val="24"/>
          <w:szCs w:val="24"/>
        </w:rPr>
        <w:t xml:space="preserve">1.3. Manfaat Bisnis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41"/>
        <w:gridCol w:w="5896"/>
      </w:tblGrid>
      <w:tr>
        <w:trPr>
          <w:tblHeader/>
        </w:trPr>
        <w:tc>
          <w:tcPr>
            <w:tcW w:type="dxa" w:w="204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Pemangku</w:t>
            </w:r>
          </w:p>
        </w:tc>
        <w:tc>
          <w:tcPr>
            <w:tcW w:type="dxa" w:w="589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Manfaat utama</w:t>
            </w:r>
          </w:p>
        </w:tc>
      </w:tr>
      <w:tr>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B2G (Pemda DKI/DLH)</w:t>
            </w:r>
          </w:p>
        </w:tc>
        <w:tc>
          <w:tcPr>
            <w:tcW w:type="dxa" w:w="589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Hemat BBM &amp; pemeliharaan armada; verifikasi kepatuhan pemilahan Ingub 5/2026 via data arus sampah terpilah; pasokan bahan baku RDF Rorotan terjaga; beban Bantar Gebang berkurang.</w:t>
            </w:r>
          </w:p>
        </w:tc>
      </w:tr>
      <w:tr>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B2B (pengelola kawasan)</w:t>
            </w:r>
          </w:p>
        </w:tc>
        <w:tc>
          <w:tcPr>
            <w:tcW w:type="dxa" w:w="589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Kontainer tidak meluap (pemantauan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kepatuhan Pergub 102/2021 tanpa tambahan SDM signifikan; laporan limbah siap audit untuk ESG/POJK 51/2017 (Pemerintah Provinsi DKI Jakarta, 2021; Otoritas Jasa Keuangan, 2017).</w:t>
            </w:r>
          </w:p>
        </w:tc>
      </w:tr>
      <w:tr>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Lingkungan</w:t>
            </w:r>
          </w:p>
        </w:tc>
        <w:tc>
          <w:tcPr>
            <w:tcW w:type="dxa" w:w="589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Reduksi emisi GRK armada; kemacetan berkurang via </w:t>
            </w:r>
            <w:r>
              <w:rPr>
                <w:rFonts w:ascii="Times New Roman" w:cs="Times New Roman" w:eastAsia="Times New Roman" w:hAnsi="Times New Roman"/>
                <w:i/>
                <w:iCs/>
                <w:sz w:val="24"/>
                <w:szCs w:val="24"/>
              </w:rPr>
              <w:t xml:space="preserve">dynamic routing</w:t>
            </w:r>
            <w:r>
              <w:rPr>
                <w:rFonts w:ascii="Times New Roman" w:cs="Times New Roman" w:eastAsia="Times New Roman" w:hAnsi="Times New Roman"/>
                <w:sz w:val="24"/>
                <w:szCs w:val="24"/>
              </w:rPr>
              <w:t xml:space="preserve">; potensi pembentukan metana menurun; kualitas udara kawasan sekitar Bantar Gebang membaik.</w:t>
            </w:r>
          </w:p>
        </w:tc>
      </w:tr>
    </w:tbl>
    <w:p>
      <w:pPr>
        <w:spacing w:after="120" w:before="40" w:line="240" w:lineRule="auto"/>
        <w:jc w:val="center"/>
      </w:pPr>
      <w:r>
        <w:rPr>
          <w:rFonts w:ascii="Times New Roman" w:cs="Times New Roman" w:eastAsia="Times New Roman" w:hAnsi="Times New Roman"/>
          <w:i/>
          <w:iCs/>
          <w:sz w:val="20"/>
          <w:szCs w:val="20"/>
        </w:rPr>
        <w:t xml:space="preserve">Tabel 3. Manfaat Alurin per pemangku kepentingan</w:t>
      </w:r>
    </w:p>
    <w:p>
      <w:pPr>
        <w:spacing w:after="0" w:before="160" w:line="360" w:lineRule="auto"/>
        <w:jc w:val="center"/>
      </w:pPr>
      <w:r>
        <w:rPr>
          <w:rFonts w:ascii="Times New Roman" w:cs="Times New Roman" w:eastAsia="Times New Roman" w:hAnsi="Times New Roman"/>
          <w:b/>
          <w:bCs/>
          <w:sz w:val="28"/>
          <w:szCs w:val="28"/>
        </w:rPr>
        <w:t xml:space="preserve">Bab 2</w:t>
      </w:r>
    </w:p>
    <w:p>
      <w:pPr>
        <w:spacing w:after="100" w:before="0" w:line="360" w:lineRule="auto"/>
        <w:jc w:val="center"/>
      </w:pPr>
      <w:r>
        <w:rPr>
          <w:rFonts w:ascii="Times New Roman" w:cs="Times New Roman" w:eastAsia="Times New Roman" w:hAnsi="Times New Roman"/>
          <w:b/>
          <w:bCs/>
          <w:sz w:val="28"/>
          <w:szCs w:val="28"/>
        </w:rPr>
        <w:t xml:space="preserve">Analisis Produk/Jasa</w:t>
      </w:r>
    </w:p>
    <w:p>
      <w:pPr>
        <w:spacing w:after="40" w:before="100" w:line="360" w:lineRule="auto"/>
        <w:jc w:val="left"/>
      </w:pPr>
      <w:r>
        <w:rPr>
          <w:rFonts w:ascii="Times New Roman" w:cs="Times New Roman" w:eastAsia="Times New Roman" w:hAnsi="Times New Roman"/>
          <w:b/>
          <w:bCs/>
          <w:sz w:val="24"/>
          <w:szCs w:val="24"/>
        </w:rPr>
        <w:t xml:space="preserve">2.1. Deskripsi Produk/Jasa</w:t>
      </w:r>
    </w:p>
    <w:p>
      <w:pPr>
        <w:spacing w:after="0" w:line="360" w:lineRule="auto"/>
        <w:ind w:firstLine="709"/>
        <w:jc w:val="both"/>
      </w:pP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merupakan platform </w:t>
      </w:r>
      <w:r>
        <w:rPr>
          <w:rFonts w:ascii="Times New Roman" w:cs="Times New Roman" w:eastAsia="Times New Roman" w:hAnsi="Times New Roman"/>
          <w:i/>
          <w:iCs/>
          <w:sz w:val="24"/>
          <w:szCs w:val="24"/>
        </w:rPr>
        <w:t xml:space="preserve">Green Technology</w:t>
      </w:r>
      <w:r>
        <w:rPr>
          <w:rFonts w:ascii="Times New Roman" w:cs="Times New Roman" w:eastAsia="Times New Roman" w:hAnsi="Times New Roman"/>
          <w:sz w:val="24"/>
          <w:szCs w:val="24"/>
        </w:rPr>
        <w:t xml:space="preserve"> berbasis SaaS dengan model bisnis B2B/B2G yang dirancang sebagai </w:t>
      </w:r>
      <w:r>
        <w:rPr>
          <w:rFonts w:ascii="Times New Roman" w:cs="Times New Roman" w:eastAsia="Times New Roman" w:hAnsi="Times New Roman"/>
          <w:i/>
          <w:iCs/>
          <w:sz w:val="24"/>
          <w:szCs w:val="24"/>
        </w:rPr>
        <w:t xml:space="preserve">execution and verification layer</w:t>
      </w:r>
      <w:r>
        <w:rPr>
          <w:rFonts w:ascii="Times New Roman" w:cs="Times New Roman" w:eastAsia="Times New Roman" w:hAnsi="Times New Roman"/>
          <w:sz w:val="24"/>
          <w:szCs w:val="24"/>
        </w:rPr>
        <w:t xml:space="preserve"> bagi reformasi pengelolaan sampah DKI Jakarta (Ingub No. 5/2026) dan pengoptimal logistik pengangkutan sampah perkotaan. Produk ini terdiri atas tiga komponen inti:</w:t>
      </w:r>
    </w:p>
    <w:p>
      <w:pPr>
        <w:spacing w:after="40" w:line="360" w:lineRule="auto"/>
        <w:ind w:left="850" w:hanging="283"/>
        <w:jc w:val="both"/>
      </w:pPr>
      <w:r>
        <w:rPr>
          <w:rFonts w:ascii="Times New Roman" w:cs="Times New Roman" w:eastAsia="Times New Roman" w:hAnsi="Times New Roman"/>
          <w:b/>
          <w:bCs/>
          <w:sz w:val="24"/>
          <w:szCs w:val="24"/>
        </w:rPr>
        <w:t xml:space="preserve">Sensor IoT </w:t>
      </w:r>
      <w:r>
        <w:rPr>
          <w:rFonts w:ascii="Times New Roman" w:cs="Times New Roman" w:eastAsia="Times New Roman" w:hAnsi="Times New Roman"/>
          <w:b/>
          <w:bCs/>
          <w:i/>
          <w:iCs/>
          <w:sz w:val="24"/>
          <w:szCs w:val="24"/>
        </w:rPr>
        <w:t xml:space="preserve">fill-level</w:t>
      </w:r>
      <w:r>
        <w:rPr>
          <w:rFonts w:ascii="Times New Roman" w:cs="Times New Roman" w:eastAsia="Times New Roman" w:hAnsi="Times New Roman"/>
          <w:sz w:val="24"/>
          <w:szCs w:val="24"/>
        </w:rPr>
        <w:t xml:space="preserve"> — perangkat keras pintar pada kontainer TPS maupun gedung komersial (mal, perkantoran) yang memantau tingkat kapasitas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 pendekatan pemantauan sampah berbasis IoT yang mapan dalam literatur </w:t>
      </w:r>
      <w:r>
        <w:rPr>
          <w:rFonts w:ascii="Times New Roman" w:cs="Times New Roman" w:eastAsia="Times New Roman" w:hAnsi="Times New Roman"/>
          <w:i/>
          <w:iCs/>
          <w:sz w:val="24"/>
          <w:szCs w:val="24"/>
        </w:rPr>
        <w:t xml:space="preserve">smart city</w:t>
      </w:r>
      <w:r>
        <w:rPr>
          <w:rFonts w:ascii="Times New Roman" w:cs="Times New Roman" w:eastAsia="Times New Roman" w:hAnsi="Times New Roman"/>
          <w:sz w:val="24"/>
          <w:szCs w:val="24"/>
        </w:rPr>
        <w:t xml:space="preserve"> (Anagnostopoulos et al., 2017).</w:t>
      </w:r>
    </w:p>
    <w:p>
      <w:pPr>
        <w:spacing w:after="40" w:line="360" w:lineRule="auto"/>
        <w:ind w:left="850" w:hanging="283"/>
        <w:jc w:val="both"/>
      </w:pPr>
      <w:r>
        <w:rPr>
          <w:rFonts w:ascii="Times New Roman" w:cs="Times New Roman" w:eastAsia="Times New Roman" w:hAnsi="Times New Roman"/>
          <w:b/>
          <w:bCs/>
          <w:i/>
          <w:iCs/>
          <w:sz w:val="24"/>
          <w:szCs w:val="24"/>
        </w:rPr>
        <w:t xml:space="preserve">Dynamic Routing Engine</w:t>
      </w:r>
      <w:r>
        <w:rPr>
          <w:rFonts w:ascii="Times New Roman" w:cs="Times New Roman" w:eastAsia="Times New Roman" w:hAnsi="Times New Roman"/>
          <w:b/>
          <w:bCs/>
          <w:sz w:val="24"/>
          <w:szCs w:val="24"/>
        </w:rPr>
        <w:t xml:space="preserve"> berbasis AI</w:t>
      </w:r>
      <w:r>
        <w:rPr>
          <w:rFonts w:ascii="Times New Roman" w:cs="Times New Roman" w:eastAsia="Times New Roman" w:hAnsi="Times New Roman"/>
          <w:sz w:val="24"/>
          <w:szCs w:val="24"/>
        </w:rPr>
        <w:t xml:space="preserve"> yang menghitung rute pengangkutan paling efisien berdasarkan data kapasitas kontainer, lokasi, lalu lintas aktual, dan jadwal kepatuhan pemilahan.</w:t>
      </w:r>
    </w:p>
    <w:p>
      <w:pPr>
        <w:spacing w:after="40" w:line="360" w:lineRule="auto"/>
        <w:ind w:left="850" w:hanging="283"/>
        <w:jc w:val="both"/>
      </w:pPr>
      <w:r>
        <w:rPr>
          <w:rFonts w:ascii="Times New Roman" w:cs="Times New Roman" w:eastAsia="Times New Roman" w:hAnsi="Times New Roman"/>
          <w:b/>
          <w:bCs/>
          <w:i/>
          <w:iCs/>
          <w:sz w:val="24"/>
          <w:szCs w:val="24"/>
        </w:rPr>
        <w:t xml:space="preserve">Predictive RDF Allocation System</w:t>
      </w:r>
      <w:r>
        <w:rPr>
          <w:rFonts w:ascii="Times New Roman" w:cs="Times New Roman" w:eastAsia="Times New Roman" w:hAnsi="Times New Roman"/>
          <w:sz w:val="24"/>
          <w:szCs w:val="24"/>
        </w:rPr>
        <w:t xml:space="preserve"> yang mengidentifikasi sampah berindikasi kalor-tinggi dan mengarahkannya ke RDF (Rorotan) agar lebih siap memenuhi spesifikasi off-taker industri (SNI 9313:2024) (Badan Standardisasi Nasional, 2024).</w:t>
      </w:r>
    </w:p>
    <w:p>
      <w:pPr>
        <w:spacing w:after="0" w:line="360" w:lineRule="auto"/>
        <w:ind w:firstLine="709"/>
        <w:jc w:val="both"/>
      </w:pPr>
      <w:r>
        <w:rPr>
          <w:rFonts w:ascii="Times New Roman" w:cs="Times New Roman" w:eastAsia="Times New Roman" w:hAnsi="Times New Roman"/>
          <w:b/>
          <w:bCs/>
          <w:sz w:val="24"/>
          <w:szCs w:val="24"/>
        </w:rPr>
        <w:t xml:space="preserve">Batasan teknis yang transparan.</w:t>
      </w:r>
      <w:r>
        <w:rPr>
          <w:rFonts w:ascii="Times New Roman" w:cs="Times New Roman" w:eastAsia="Times New Roman" w:hAnsi="Times New Roman"/>
          <w:sz w:val="24"/>
          <w:szCs w:val="24"/>
        </w:rPr>
        <w:t xml:space="preserve"> Sensor </w:t>
      </w:r>
      <w:r>
        <w:rPr>
          <w:rFonts w:ascii="Times New Roman" w:cs="Times New Roman" w:eastAsia="Times New Roman" w:hAnsi="Times New Roman"/>
          <w:i/>
          <w:iCs/>
          <w:sz w:val="24"/>
          <w:szCs w:val="24"/>
        </w:rPr>
        <w:t xml:space="preserve">ultrasonic fill-level</w:t>
      </w:r>
      <w:r>
        <w:rPr>
          <w:rFonts w:ascii="Times New Roman" w:cs="Times New Roman" w:eastAsia="Times New Roman" w:hAnsi="Times New Roman"/>
          <w:sz w:val="24"/>
          <w:szCs w:val="24"/>
        </w:rPr>
        <w:t xml:space="preserve"> mengukur jarak ke permukaan sampah, sehingga tidak dapat mengukur nilai kalor (kkal/kg) atau kadar air (%) secara langsung. Untuk itu, </w:t>
      </w:r>
      <w:r>
        <w:rPr>
          <w:rFonts w:ascii="Times New Roman" w:cs="Times New Roman" w:eastAsia="Times New Roman" w:hAnsi="Times New Roman"/>
          <w:i/>
          <w:iCs/>
          <w:sz w:val="24"/>
          <w:szCs w:val="24"/>
        </w:rPr>
        <w:t xml:space="preserve">Predictive RDF Allocation System</w:t>
      </w:r>
      <w:r>
        <w:rPr>
          <w:rFonts w:ascii="Times New Roman" w:cs="Times New Roman" w:eastAsia="Times New Roman" w:hAnsi="Times New Roman"/>
          <w:sz w:val="24"/>
          <w:szCs w:val="24"/>
        </w:rPr>
        <w:t xml:space="preserve"> adalah </w:t>
      </w:r>
      <w:r>
        <w:rPr>
          <w:rFonts w:ascii="Times New Roman" w:cs="Times New Roman" w:eastAsia="Times New Roman" w:hAnsi="Times New Roman"/>
          <w:i/>
          <w:iCs/>
          <w:sz w:val="24"/>
          <w:szCs w:val="24"/>
        </w:rPr>
        <w:t xml:space="preserve">proxy classifier</w:t>
      </w:r>
      <w:r>
        <w:rPr>
          <w:rFonts w:ascii="Times New Roman" w:cs="Times New Roman" w:eastAsia="Times New Roman" w:hAnsi="Times New Roman"/>
          <w:sz w:val="24"/>
          <w:szCs w:val="24"/>
        </w:rPr>
        <w:t xml:space="preserve"> yang mengestimasi </w:t>
      </w:r>
      <w:r>
        <w:rPr>
          <w:rFonts w:ascii="Times New Roman" w:cs="Times New Roman" w:eastAsia="Times New Roman" w:hAnsi="Times New Roman"/>
          <w:i/>
          <w:iCs/>
          <w:sz w:val="24"/>
          <w:szCs w:val="24"/>
        </w:rPr>
        <w:t xml:space="preserve">kelayakan</w:t>
      </w:r>
      <w:r>
        <w:rPr>
          <w:rFonts w:ascii="Times New Roman" w:cs="Times New Roman" w:eastAsia="Times New Roman" w:hAnsi="Times New Roman"/>
          <w:sz w:val="24"/>
          <w:szCs w:val="24"/>
        </w:rPr>
        <w:t xml:space="preserve"> sampah menuju RDF berdasarkan variabel terukur: kategori pemilahan di sumber (sesuai Ingub 5/2026), status kepatuhan TPS, data historis analisis proksimat, dan curah hujan. Pada fase pilot, model dikalibrasi terhadap analisis proksimat aktual, sehingga klaim akurasi &gt;80% merujuk pada kesesuaian prediksi proxy terhadap data aktual, bukan pengukuran langsung. </w:t>
      </w: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mengklaim </w:t>
      </w:r>
      <w:r>
        <w:rPr>
          <w:rFonts w:ascii="Times New Roman" w:cs="Times New Roman" w:eastAsia="Times New Roman" w:hAnsi="Times New Roman"/>
          <w:i/>
          <w:iCs/>
          <w:sz w:val="24"/>
          <w:szCs w:val="24"/>
        </w:rPr>
        <w:t xml:space="preserve">waste-stream classification and segregation-compliance tracking</w:t>
      </w:r>
      <w:r>
        <w:rPr>
          <w:rFonts w:ascii="Times New Roman" w:cs="Times New Roman" w:eastAsia="Times New Roman" w:hAnsi="Times New Roman"/>
          <w:sz w:val="24"/>
          <w:szCs w:val="24"/>
        </w:rPr>
        <w:t xml:space="preserve">, bukan pengukuran kalor.</w:t>
      </w:r>
    </w:p>
    <w:p>
      <w:pPr>
        <w:spacing w:after="0" w:line="360" w:lineRule="auto"/>
        <w:ind w:firstLine="709"/>
        <w:jc w:val="both"/>
      </w:pPr>
      <w:r>
        <w:rPr>
          <w:rFonts w:ascii="Times New Roman" w:cs="Times New Roman" w:eastAsia="Times New Roman" w:hAnsi="Times New Roman"/>
          <w:sz w:val="24"/>
          <w:szCs w:val="24"/>
        </w:rPr>
        <w:t xml:space="preserve">Dengan pendekatan </w:t>
      </w:r>
      <w:r>
        <w:rPr>
          <w:rFonts w:ascii="Times New Roman" w:cs="Times New Roman" w:eastAsia="Times New Roman" w:hAnsi="Times New Roman"/>
          <w:i/>
          <w:iCs/>
          <w:sz w:val="24"/>
          <w:szCs w:val="24"/>
        </w:rPr>
        <w:t xml:space="preserve">asset-light</w:t>
      </w:r>
      <w:r>
        <w:rPr>
          <w:rFonts w:ascii="Times New Roman" w:cs="Times New Roman" w:eastAsia="Times New Roman" w:hAnsi="Times New Roman"/>
          <w:sz w:val="24"/>
          <w:szCs w:val="24"/>
        </w:rPr>
        <w:t xml:space="preserve">, produk ini tidak memerlukan investasi besar dalam pengadaan armada, melainkan memanfaatkan truk sampah milik pemerintah daerah maupun swasta yang sudah beroperasi. Perangkat sensor bersifat </w:t>
      </w:r>
      <w:r>
        <w:rPr>
          <w:rFonts w:ascii="Times New Roman" w:cs="Times New Roman" w:eastAsia="Times New Roman" w:hAnsi="Times New Roman"/>
          <w:i/>
          <w:iCs/>
          <w:sz w:val="24"/>
          <w:szCs w:val="24"/>
        </w:rPr>
        <w:t xml:space="preserve">pass-through</w:t>
      </w:r>
      <w:r>
        <w:rPr>
          <w:rFonts w:ascii="Times New Roman" w:cs="Times New Roman" w:eastAsia="Times New Roman" w:hAnsi="Times New Roman"/>
          <w:sz w:val="24"/>
          <w:szCs w:val="24"/>
        </w:rPr>
        <w:t xml:space="preserve"> (dibeli dan dijual kembali kepada pelanggan), sehingga tidak membebani neraca sebagai aset modal besar.</w:t>
      </w:r>
    </w:p>
    <w:p>
      <w:pPr>
        <w:spacing w:after="40" w:before="100" w:line="360" w:lineRule="auto"/>
        <w:jc w:val="left"/>
      </w:pPr>
      <w:r>
        <w:rPr>
          <w:rFonts w:ascii="Times New Roman" w:cs="Times New Roman" w:eastAsia="Times New Roman" w:hAnsi="Times New Roman"/>
          <w:b/>
          <w:bCs/>
          <w:sz w:val="24"/>
          <w:szCs w:val="24"/>
        </w:rPr>
        <w:t xml:space="preserve">2.2. Keunggulan Produk</w:t>
      </w:r>
    </w:p>
    <w:p>
      <w:pPr>
        <w:spacing w:after="0" w:line="360" w:lineRule="auto"/>
        <w:ind w:firstLine="709"/>
        <w:jc w:val="both"/>
      </w:pPr>
      <w:r>
        <w:rPr>
          <w:rFonts w:ascii="Times New Roman" w:cs="Times New Roman" w:eastAsia="Times New Roman" w:hAnsi="Times New Roman"/>
          <w:sz w:val="24"/>
          <w:szCs w:val="24"/>
        </w:rPr>
        <w:t xml:space="preserve">Alurin</w:t>
      </w:r>
      <w:r>
        <w:rPr>
          <w:rFonts w:ascii="Times New Roman" w:cs="Times New Roman" w:eastAsia="Times New Roman" w:hAnsi="Times New Roman"/>
          <w:sz w:val="24"/>
          <w:szCs w:val="24"/>
        </w:rPr>
        <w:t xml:space="preserve"> memiliki keunggulan kompetitif yang membedakannya dari sistem konvensional maupun kompetitor sensor generik:</w:t>
      </w:r>
    </w:p>
    <w:p>
      <w:pPr>
        <w:spacing w:after="40" w:line="360" w:lineRule="auto"/>
        <w:ind w:left="850" w:hanging="283"/>
        <w:jc w:val="both"/>
      </w:pPr>
      <w:r>
        <w:rPr>
          <w:rFonts w:ascii="Times New Roman" w:cs="Times New Roman" w:eastAsia="Times New Roman" w:hAnsi="Times New Roman"/>
          <w:b/>
          <w:bCs/>
          <w:sz w:val="24"/>
          <w:szCs w:val="24"/>
        </w:rPr>
        <w:t xml:space="preserve">Verifikasi kepatuhan pemilahan (Ingub 5/2026).</w:t>
      </w:r>
      <w:r>
        <w:rPr>
          <w:rFonts w:ascii="Times New Roman" w:cs="Times New Roman" w:eastAsia="Times New Roman" w:hAnsi="Times New Roman"/>
          <w:sz w:val="24"/>
          <w:szCs w:val="24"/>
        </w:rPr>
        <w:t xml:space="preserve"> Melacak arus sampah terpilah per kategori dan menghasilkan bukti kepatuhan bagi DLH maupun pengelola kawasan — kebutuhan yang belum dipenuhi solusi sensor generik.</w:t>
      </w:r>
    </w:p>
    <w:p>
      <w:pPr>
        <w:spacing w:after="40" w:line="360" w:lineRule="auto"/>
        <w:ind w:left="850" w:hanging="283"/>
        <w:jc w:val="both"/>
      </w:pPr>
      <w:r>
        <w:rPr>
          <w:rFonts w:ascii="Times New Roman" w:cs="Times New Roman" w:eastAsia="Times New Roman" w:hAnsi="Times New Roman"/>
          <w:b/>
          <w:bCs/>
          <w:sz w:val="24"/>
          <w:szCs w:val="24"/>
        </w:rPr>
        <w:t xml:space="preserve">Integrasi khusus ekosistem RDF Rorotan / Bantar Gebang.</w:t>
      </w:r>
      <w:r>
        <w:rPr>
          <w:rFonts w:ascii="Times New Roman" w:cs="Times New Roman" w:eastAsia="Times New Roman" w:hAnsi="Times New Roman"/>
          <w:sz w:val="24"/>
          <w:szCs w:val="24"/>
        </w:rPr>
        <w:t xml:space="preserve"> Dioptimalkan untuk pasokan lini 2–3 Rorotan dan meringankan beban Bantar Gebang — bukan sekadar sensor universal.</w:t>
      </w:r>
    </w:p>
    <w:p>
      <w:pPr>
        <w:spacing w:after="40" w:line="360" w:lineRule="auto"/>
        <w:ind w:left="850" w:hanging="283"/>
        <w:jc w:val="both"/>
      </w:pPr>
      <w:r>
        <w:rPr>
          <w:rFonts w:ascii="Times New Roman" w:cs="Times New Roman" w:eastAsia="Times New Roman" w:hAnsi="Times New Roman"/>
          <w:b/>
          <w:bCs/>
          <w:sz w:val="24"/>
          <w:szCs w:val="24"/>
        </w:rPr>
        <w:t xml:space="preserve">Distribusi sampah yang presisi.</w:t>
      </w:r>
      <w:r>
        <w:rPr>
          <w:rFonts w:ascii="Times New Roman" w:cs="Times New Roman" w:eastAsia="Times New Roman" w:hAnsi="Times New Roman"/>
          <w:sz w:val="24"/>
          <w:szCs w:val="24"/>
        </w:rPr>
        <w:t xml:space="preserve"> AI menentukan rute tercepat serta mengarahkan sampah kalor-tinggi ke RDF, memaksimalkan </w:t>
      </w:r>
      <w:r>
        <w:rPr>
          <w:rFonts w:ascii="Times New Roman" w:cs="Times New Roman" w:eastAsia="Times New Roman" w:hAnsi="Times New Roman"/>
          <w:i/>
          <w:iCs/>
          <w:sz w:val="24"/>
          <w:szCs w:val="24"/>
        </w:rPr>
        <w:t xml:space="preserve">waste-to-energy</w:t>
      </w:r>
      <w:r>
        <w:rPr>
          <w:rFonts w:ascii="Times New Roman" w:cs="Times New Roman" w:eastAsia="Times New Roman" w:hAnsi="Times New Roman"/>
          <w:sz w:val="24"/>
          <w:szCs w:val="24"/>
        </w:rPr>
        <w:t xml:space="preserve"> dan mengurangi sampah campuran ke TPA.</w:t>
      </w:r>
    </w:p>
    <w:p>
      <w:pPr>
        <w:spacing w:after="40" w:line="360" w:lineRule="auto"/>
        <w:ind w:left="850" w:hanging="283"/>
        <w:jc w:val="both"/>
      </w:pPr>
      <w:r>
        <w:rPr>
          <w:rFonts w:ascii="Times New Roman" w:cs="Times New Roman" w:eastAsia="Times New Roman" w:hAnsi="Times New Roman"/>
          <w:b/>
          <w:bCs/>
          <w:sz w:val="24"/>
          <w:szCs w:val="24"/>
        </w:rPr>
        <w:t xml:space="preserve">Data yang akuntabel.</w:t>
      </w:r>
      <w:r>
        <w:rPr>
          <w:rFonts w:ascii="Times New Roman" w:cs="Times New Roman" w:eastAsia="Times New Roman" w:hAnsi="Times New Roman"/>
          <w:sz w:val="24"/>
          <w:szCs w:val="24"/>
        </w:rPr>
        <w:t xml:space="preserve"> Proses pengangkutan transparan dan siap diolah menjadi laporan keberlanjutan (ESG).</w:t>
      </w:r>
    </w:p>
    <w:p>
      <w:pPr>
        <w:spacing w:after="40" w:line="360" w:lineRule="auto"/>
        <w:ind w:left="850" w:hanging="283"/>
        <w:jc w:val="both"/>
      </w:pPr>
      <w:r>
        <w:rPr>
          <w:rFonts w:ascii="Times New Roman" w:cs="Times New Roman" w:eastAsia="Times New Roman" w:hAnsi="Times New Roman"/>
          <w:b/>
          <w:bCs/>
          <w:sz w:val="24"/>
          <w:szCs w:val="24"/>
        </w:rPr>
        <w:t xml:space="preserve">Skalabilitas lintas kota</w:t>
      </w:r>
      <w:r>
        <w:rPr>
          <w:rFonts w:ascii="Times New Roman" w:cs="Times New Roman" w:eastAsia="Times New Roman" w:hAnsi="Times New Roman"/>
          <w:sz w:val="24"/>
          <w:szCs w:val="24"/>
        </w:rPr>
        <w:t xml:space="preserve"> tanpa perubahan infrastruktur besar, bertumpu pada armada yang telah ada.</w:t>
      </w:r>
    </w:p>
    <w:p>
      <w:pPr>
        <w:spacing w:after="40" w:before="100" w:line="360" w:lineRule="auto"/>
        <w:jc w:val="left"/>
      </w:pPr>
      <w:r>
        <w:rPr>
          <w:rFonts w:ascii="Times New Roman" w:cs="Times New Roman" w:eastAsia="Times New Roman" w:hAnsi="Times New Roman"/>
          <w:b/>
          <w:bCs/>
          <w:sz w:val="24"/>
          <w:szCs w:val="24"/>
        </w:rPr>
        <w:t xml:space="preserve">2.3. Alur Produksi/Jasa</w:t>
      </w:r>
    </w:p>
    <w:p>
      <w:pPr>
        <w:spacing w:after="0" w:line="360" w:lineRule="auto"/>
        <w:ind w:firstLine="709"/>
        <w:jc w:val="both"/>
      </w:pPr>
      <w:r>
        <w:rPr>
          <w:rFonts w:ascii="Times New Roman" w:cs="Times New Roman" w:eastAsia="Times New Roman" w:hAnsi="Times New Roman"/>
          <w:sz w:val="24"/>
          <w:szCs w:val="24"/>
        </w:rPr>
        <w:t xml:space="preserve">Alur operasional produk terbagi dalam enam tahap:</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01"/>
        <w:gridCol w:w="6236"/>
      </w:tblGrid>
      <w:tr>
        <w:trPr>
          <w:tblHeader/>
        </w:trPr>
        <w:tc>
          <w:tcPr>
            <w:tcW w:type="dxa" w:w="17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Tahap</w:t>
            </w:r>
          </w:p>
        </w:tc>
        <w:tc>
          <w:tcPr>
            <w:tcW w:type="dxa" w:w="62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Aktivitas</w:t>
            </w:r>
          </w:p>
        </w:tc>
      </w:tr>
      <w:tr>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 Pemasangan sensor</w:t>
            </w:r>
          </w:p>
        </w:tc>
        <w:tc>
          <w:tcPr>
            <w:tcW w:type="dxa" w:w="623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Sensor dikalibrasi pada kontainer di TPS, mal, perkantoran, atau kawasan komersial; mengukur tingkat pengisian secara kontinu.</w:t>
            </w:r>
          </w:p>
        </w:tc>
      </w:tr>
      <w:tr>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2. Transmisi data</w:t>
            </w:r>
          </w:p>
        </w:tc>
        <w:tc>
          <w:tcPr>
            <w:tcW w:type="dxa" w:w="623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Data kepenuhan dikirim via jaringan konektivitas IoT ke </w:t>
            </w:r>
            <w:r>
              <w:rPr>
                <w:rFonts w:ascii="Times New Roman" w:cs="Times New Roman" w:eastAsia="Times New Roman" w:hAnsi="Times New Roman"/>
                <w:i/>
                <w:iCs/>
                <w:sz w:val="24"/>
                <w:szCs w:val="24"/>
              </w:rPr>
              <w:t xml:space="preserve">cloud</w:t>
            </w:r>
            <w:r>
              <w:rPr>
                <w:rFonts w:ascii="Times New Roman" w:cs="Times New Roman" w:eastAsia="Times New Roman" w:hAnsi="Times New Roman"/>
                <w:sz w:val="24"/>
                <w:szCs w:val="24"/>
              </w:rPr>
              <w:t xml:space="preserve"> platform, diperbarui tiap 30–60 menit.</w:t>
            </w:r>
          </w:p>
        </w:tc>
      </w:tr>
      <w:tr>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 Analisis AI</w:t>
            </w:r>
          </w:p>
        </w:tc>
        <w:tc>
          <w:tcPr>
            <w:tcW w:type="dxa" w:w="623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Pada kapasitas ≥80%, </w:t>
            </w:r>
            <w:r>
              <w:rPr>
                <w:rFonts w:ascii="Times New Roman" w:cs="Times New Roman" w:eastAsia="Times New Roman" w:hAnsi="Times New Roman"/>
                <w:i/>
                <w:iCs/>
                <w:sz w:val="24"/>
                <w:szCs w:val="24"/>
              </w:rPr>
              <w:t xml:space="preserve">Dynamic Routing Engine</w:t>
            </w:r>
            <w:r>
              <w:rPr>
                <w:rFonts w:ascii="Times New Roman" w:cs="Times New Roman" w:eastAsia="Times New Roman" w:hAnsi="Times New Roman"/>
                <w:sz w:val="24"/>
                <w:szCs w:val="24"/>
              </w:rPr>
              <w:t xml:space="preserve"> menghitung rute dari lokasi kontainer penuh, posisi armada, lalu lintas aktual, kategori pemilahan (kepatuhan Ingub), serta kapasitas/lokasi RDF Plant–TPA.</w:t>
            </w:r>
          </w:p>
        </w:tc>
      </w:tr>
      <w:tr>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 Eksekusi</w:t>
            </w:r>
          </w:p>
        </w:tc>
        <w:tc>
          <w:tcPr>
            <w:tcW w:type="dxa" w:w="623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Rute dikirim ke perangkat GPS pengemudi; truk menjemput kontainer penuh sesuai rute.</w:t>
            </w:r>
          </w:p>
        </w:tc>
      </w:tr>
      <w:tr>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5. Pemantauan &amp; pelaporan</w:t>
            </w:r>
          </w:p>
        </w:tc>
        <w:tc>
          <w:tcPr>
            <w:tcW w:type="dxa" w:w="623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Dasbor pemerintah/pengelola: estimasi volume kalor-tinggi, penghematan BBM, emisi yang dihindari, tingkat alokasi RDF, bukti kepatuhan pemilahan.</w:t>
            </w:r>
          </w:p>
        </w:tc>
      </w:tr>
      <w:tr>
        <w:tc>
          <w:tcPr>
            <w:tcW w:type="dxa" w:w="170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6. Evaluasi</w:t>
            </w:r>
          </w:p>
        </w:tc>
        <w:tc>
          <w:tcPr>
            <w:tcW w:type="dxa" w:w="623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Data historis melatih ulang model AI agar efisiensi &amp; akurasi rute meningkat.</w:t>
            </w:r>
          </w:p>
        </w:tc>
      </w:tr>
    </w:tbl>
    <w:p>
      <w:pPr>
        <w:spacing w:after="120" w:before="40" w:line="240" w:lineRule="auto"/>
        <w:jc w:val="center"/>
      </w:pPr>
      <w:r>
        <w:rPr>
          <w:rFonts w:ascii="Times New Roman" w:cs="Times New Roman" w:eastAsia="Times New Roman" w:hAnsi="Times New Roman"/>
          <w:i/>
          <w:iCs/>
          <w:sz w:val="20"/>
          <w:szCs w:val="20"/>
        </w:rPr>
        <w:t xml:space="preserve">Tabel 4. Alur operasional produk Alurin dalam enam tahap</w:t>
      </w:r>
    </w:p>
    <w:p>
      <w:pPr>
        <w:spacing w:after="40" w:before="100" w:line="360" w:lineRule="auto"/>
        <w:jc w:val="left"/>
      </w:pPr>
      <w:r>
        <w:rPr>
          <w:rFonts w:ascii="Times New Roman" w:cs="Times New Roman" w:eastAsia="Times New Roman" w:hAnsi="Times New Roman"/>
          <w:b/>
          <w:bCs/>
          <w:sz w:val="24"/>
          <w:szCs w:val="24"/>
        </w:rPr>
        <w:t xml:space="preserve">2.4. Rencana Pengembangan Produk/Jasa</w:t>
      </w:r>
    </w:p>
    <w:p>
      <w:pPr>
        <w:spacing w:after="0" w:line="360" w:lineRule="auto"/>
        <w:ind w:firstLine="709"/>
        <w:jc w:val="both"/>
      </w:pPr>
      <w:r>
        <w:rPr>
          <w:rFonts w:ascii="Times New Roman" w:cs="Times New Roman" w:eastAsia="Times New Roman" w:hAnsi="Times New Roman"/>
          <w:sz w:val="24"/>
          <w:szCs w:val="24"/>
        </w:rPr>
        <w:t xml:space="preserve">Rencana pengembangan produk disusun dalam tiga tahap, selaras dengan proyeksi keuangan pada Bab 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28"/>
        <w:gridCol w:w="6009"/>
      </w:tblGrid>
      <w:tr>
        <w:trPr>
          <w:tblHeader/>
        </w:trPr>
        <w:tc>
          <w:tcPr>
            <w:tcW w:type="dxa" w:w="192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Fase</w:t>
            </w:r>
          </w:p>
        </w:tc>
        <w:tc>
          <w:tcPr>
            <w:tcW w:type="dxa" w:w="600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Cakupan dan target</w:t>
            </w:r>
          </w:p>
        </w:tc>
      </w:tr>
      <w:tr>
        <w:tc>
          <w:tcPr>
            <w:tcW w:type="dxa" w:w="192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Tahun 1 — Pilot &amp; validasi</w:t>
            </w:r>
          </w:p>
        </w:tc>
        <w:tc>
          <w:tcPr>
            <w:tcW w:type="dxa" w:w="60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75 kontainer, 15–20 armada truk; validasi akurasi sensor, stabilitas koneksi, performa </w:t>
            </w:r>
            <w:r>
              <w:rPr>
                <w:rFonts w:ascii="Times New Roman" w:cs="Times New Roman" w:eastAsia="Times New Roman" w:hAnsi="Times New Roman"/>
                <w:i/>
                <w:iCs/>
                <w:sz w:val="24"/>
                <w:szCs w:val="24"/>
              </w:rPr>
              <w:t xml:space="preserve">routing</w:t>
            </w:r>
            <w:r>
              <w:rPr>
                <w:rFonts w:ascii="Times New Roman" w:cs="Times New Roman" w:eastAsia="Times New Roman" w:hAnsi="Times New Roman"/>
                <w:sz w:val="24"/>
                <w:szCs w:val="24"/>
              </w:rPr>
              <w:t xml:space="preserve">, kalibrasi proxy RDF.</w:t>
            </w:r>
          </w:p>
        </w:tc>
      </w:tr>
      <w:tr>
        <w:tc>
          <w:tcPr>
            <w:tcW w:type="dxa" w:w="192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Tahun 2–3 — Skala kota &amp; integrasi RDF</w:t>
            </w:r>
          </w:p>
        </w:tc>
        <w:tc>
          <w:tcPr>
            <w:tcW w:type="dxa" w:w="60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400 (Y2) → 1.000 (Y3) kontainer di Jabodetabek; integrasi penuh RDF Rorotan/TPA; laporan ESG otomatis &amp; verifikasi Ingub 5/2026 untuk B2B.</w:t>
            </w:r>
          </w:p>
        </w:tc>
      </w:tr>
      <w:tr>
        <w:tc>
          <w:tcPr>
            <w:tcW w:type="dxa" w:w="192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Tahun 4–5 — Nasional &amp; nilai tambah</w:t>
            </w:r>
          </w:p>
        </w:tc>
        <w:tc>
          <w:tcPr>
            <w:tcW w:type="dxa" w:w="60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Surabaya, Bandung, Medan; modul prediktif kapasitas TPA &amp; simulasi kebijakan; sertifikasi + kemitraan telekomunikasi/</w:t>
            </w:r>
            <w:r>
              <w:rPr>
                <w:rFonts w:ascii="Times New Roman" w:cs="Times New Roman" w:eastAsia="Times New Roman" w:hAnsi="Times New Roman"/>
                <w:i/>
                <w:iCs/>
                <w:sz w:val="24"/>
                <w:szCs w:val="24"/>
              </w:rPr>
              <w:t xml:space="preserve">cloud</w:t>
            </w:r>
            <w:r>
              <w:rPr>
                <w:rFonts w:ascii="Times New Roman" w:cs="Times New Roman" w:eastAsia="Times New Roman" w:hAnsi="Times New Roman"/>
                <w:sz w:val="24"/>
                <w:szCs w:val="24"/>
              </w:rPr>
              <w:t xml:space="preserve">.</w:t>
            </w:r>
          </w:p>
        </w:tc>
      </w:tr>
    </w:tbl>
    <w:p>
      <w:pPr>
        <w:spacing w:after="120" w:before="40" w:line="240" w:lineRule="auto"/>
        <w:jc w:val="center"/>
      </w:pPr>
      <w:r>
        <w:rPr>
          <w:rFonts w:ascii="Times New Roman" w:cs="Times New Roman" w:eastAsia="Times New Roman" w:hAnsi="Times New Roman"/>
          <w:i/>
          <w:iCs/>
          <w:sz w:val="20"/>
          <w:szCs w:val="20"/>
        </w:rPr>
        <w:t xml:space="preserve">Tabel 5. Rencana pengembangan produk lima tahun Alurin</w:t>
      </w:r>
    </w:p>
    <w:p>
      <w:pPr>
        <w:spacing w:after="0" w:before="160" w:line="360" w:lineRule="auto"/>
        <w:jc w:val="center"/>
      </w:pPr>
      <w:r>
        <w:rPr>
          <w:rFonts w:ascii="Times New Roman" w:cs="Times New Roman" w:eastAsia="Times New Roman" w:hAnsi="Times New Roman"/>
          <w:b/>
          <w:bCs/>
          <w:sz w:val="28"/>
          <w:szCs w:val="28"/>
        </w:rPr>
        <w:t xml:space="preserve">Bab 3</w:t>
      </w:r>
    </w:p>
    <w:p>
      <w:pPr>
        <w:spacing w:after="100" w:before="0" w:line="360" w:lineRule="auto"/>
        <w:jc w:val="center"/>
      </w:pPr>
      <w:r>
        <w:rPr>
          <w:rFonts w:ascii="Times New Roman" w:cs="Times New Roman" w:eastAsia="Times New Roman" w:hAnsi="Times New Roman"/>
          <w:b/>
          <w:bCs/>
          <w:sz w:val="28"/>
          <w:szCs w:val="28"/>
        </w:rPr>
        <w:t xml:space="preserve">Analisis Pasar</w:t>
      </w:r>
    </w:p>
    <w:p>
      <w:pPr>
        <w:spacing w:after="40" w:before="100" w:line="360" w:lineRule="auto"/>
        <w:jc w:val="left"/>
      </w:pPr>
      <w:r>
        <w:rPr>
          <w:rFonts w:ascii="Times New Roman" w:cs="Times New Roman" w:eastAsia="Times New Roman" w:hAnsi="Times New Roman"/>
          <w:b/>
          <w:bCs/>
          <w:sz w:val="24"/>
          <w:szCs w:val="24"/>
        </w:rPr>
        <w:t xml:space="preserve">3.1. Analisis SWOT</w:t>
      </w:r>
    </w:p>
    <w:tbl>
      <w:tblPr>
        <w:tblW w:type="dxa" w:w="7597"/>
        <w:tblBorders>
          <w:top w:val="single" w:color="auto" w:sz="4"/>
          <w:left w:val="single" w:color="auto" w:sz="4"/>
          <w:bottom w:val="single" w:color="auto" w:sz="4"/>
          <w:right w:val="single" w:color="auto" w:sz="4"/>
          <w:insideH w:val="single" w:color="auto" w:sz="4"/>
          <w:insideV w:val="single" w:color="auto" w:sz="4"/>
        </w:tblBorders>
      </w:tblPr>
      <w:tblGrid>
        <w:gridCol w:w="3798"/>
        <w:gridCol w:w="3798"/>
      </w:tblGrid>
      <w:tr>
        <w:tc>
          <w:tcPr>
            <w:tcW w:type="dxa" w:w="379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Strengths</w:t>
            </w:r>
          </w:p>
        </w:tc>
        <w:tc>
          <w:tcPr>
            <w:tcW w:type="dxa" w:w="379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Weaknesses</w:t>
            </w:r>
          </w:p>
        </w:tc>
      </w:tr>
      <w:tr>
        <w:tc>
          <w:tcPr>
            <w:tcW w:type="dxa" w:w="379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asset-light</w:t>
            </w:r>
            <w:r>
              <w:rPr>
                <w:rFonts w:ascii="Times New Roman" w:cs="Times New Roman" w:eastAsia="Times New Roman" w:hAnsi="Times New Roman"/>
                <w:sz w:val="24"/>
                <w:szCs w:val="24"/>
              </w:rPr>
              <w:t xml:space="preserve"> B2B/B2G SaaS — tanpa CAPEX armada, memanfaatkan truk pemerintah/swasta yang sudah ada; sensor bersifat </w:t>
            </w:r>
            <w:r>
              <w:rPr>
                <w:rFonts w:ascii="Times New Roman" w:cs="Times New Roman" w:eastAsia="Times New Roman" w:hAnsi="Times New Roman"/>
                <w:i/>
                <w:iCs/>
                <w:sz w:val="24"/>
                <w:szCs w:val="24"/>
              </w:rPr>
              <w:t xml:space="preserve">pass-through</w:t>
            </w:r>
            <w:r>
              <w:rPr>
                <w:rFonts w:ascii="Times New Roman" w:cs="Times New Roman" w:eastAsia="Times New Roman" w:hAnsi="Times New Roman"/>
                <w:sz w:val="24"/>
                <w:szCs w:val="24"/>
              </w:rPr>
              <w:t xml:space="preserve">.</w:t>
            </w:r>
          </w:p>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Platform terintegrasi: sensor </w:t>
            </w:r>
            <w:r>
              <w:rPr>
                <w:rFonts w:ascii="Times New Roman" w:cs="Times New Roman" w:eastAsia="Times New Roman" w:hAnsi="Times New Roman"/>
                <w:i/>
                <w:iCs/>
                <w:sz w:val="24"/>
                <w:szCs w:val="24"/>
              </w:rPr>
              <w:t xml:space="preserve">fill-level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Dynamic Routing AI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Predictive RDF Allocation</w:t>
            </w:r>
            <w:r>
              <w:rPr>
                <w:rFonts w:ascii="Times New Roman" w:cs="Times New Roman" w:eastAsia="Times New Roman" w:hAnsi="Times New Roman"/>
                <w:sz w:val="24"/>
                <w:szCs w:val="24"/>
              </w:rPr>
              <w:t xml:space="preserve"> + verifikasi kepatuhan pemilahan.</w:t>
            </w:r>
          </w:p>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 operasional siap diolah menjadi laporan ESG yang dapat diaudit.</w:t>
            </w:r>
          </w:p>
          <w:p>
            <w:pPr>
              <w:spacing w:after="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Integrasi khusus dengan ekosistem RDF Rorotan/Bantar Gebang dan kebijakan Ingub 5/2026.</w:t>
            </w:r>
          </w:p>
        </w:tc>
        <w:tc>
          <w:tcPr>
            <w:tcW w:type="dxa" w:w="379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Ketergantungan pada perangkat keras — pemasangan, kalibrasi, dan ketahanan baterai sensor di lingkungan TPS/TPA yang keras.</w:t>
            </w:r>
          </w:p>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Ketergantungan konektivitas — data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membutuhkan jaringan NB-IoT/LoRaWAN yang stabil hingga ke titik TPS.</w:t>
            </w:r>
          </w:p>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Nilai penuh produk baru tercapai jika ada kerja sama aktif dari operator armada DKI/swasta dan operator RDF Plant.</w:t>
            </w:r>
          </w:p>
          <w:p>
            <w:pPr>
              <w:spacing w:after="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Perangkat tidak mengukur nilai kalor secara langsung; akurasi bergantung pada kualitas data proxy dan kalibrasi lapangan.</w:t>
            </w:r>
          </w:p>
        </w:tc>
      </w:tr>
      <w:tr>
        <w:tc>
          <w:tcPr>
            <w:tcW w:type="dxa" w:w="379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Opportunities</w:t>
            </w:r>
          </w:p>
        </w:tc>
        <w:tc>
          <w:tcPr>
            <w:tcW w:type="dxa" w:w="379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Threats</w:t>
            </w:r>
          </w:p>
        </w:tc>
      </w:tr>
      <w:tr>
        <w:tc>
          <w:tcPr>
            <w:tcW w:type="dxa" w:w="379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Peraturan Gubernur DKI Jakarta No. 102/2021 mewajibkan pengelola kawasan komersial/industri melakukan pengelolaan sampah (diutamakan mandiri) — mendorong permintaan B2B (Pemerintah Provinsi DKI Jakarta, 2021).</w:t>
            </w:r>
          </w:p>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Instruksi Gubernur No. 5/2026 (30 April 2026) mewajibkan pemilahan dari sumber dan model </w:t>
            </w:r>
            <w:r>
              <w:rPr>
                <w:rFonts w:ascii="Times New Roman" w:cs="Times New Roman" w:eastAsia="Times New Roman" w:hAnsi="Times New Roman"/>
                <w:i/>
                <w:iCs/>
                <w:sz w:val="24"/>
                <w:szCs w:val="24"/>
              </w:rPr>
              <w:t xml:space="preserve">pilah-angkut-olah</w:t>
            </w:r>
            <w:r>
              <w:rPr>
                <w:rFonts w:ascii="Times New Roman" w:cs="Times New Roman" w:eastAsia="Times New Roman" w:hAnsi="Times New Roman"/>
                <w:sz w:val="24"/>
                <w:szCs w:val="24"/>
              </w:rPr>
              <w:t xml:space="preserve">, dengan residu-only ke Bantar Gebang mulai 1 Agustus 2026 — membuka kebutuhan platform pelacak arus sampah terpilah dan verifikasi kepatuhan (Pemerintah Provinsi DKI Jakarta, 2026a).</w:t>
            </w:r>
          </w:p>
          <w:p>
            <w:pPr>
              <w:spacing w:after="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RDF Plant Rorotan berkapasitas 2.200–2.400 ton/hari tetapi baru 1 lini beroperasi; pasokan sampah bermutu kalor adalah kendala logistik yang dapat diatasi platform (ANTARA News, 2026; Kompas, 2026c).</w:t>
            </w:r>
          </w:p>
        </w:tc>
        <w:tc>
          <w:tcPr>
            <w:tcW w:type="dxa" w:w="379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DLH DKI membangun in-house</w:t>
            </w:r>
            <w:r>
              <w:rPr>
                <w:rFonts w:ascii="Times New Roman" w:cs="Times New Roman" w:eastAsia="Times New Roman" w:hAnsi="Times New Roman"/>
                <w:sz w:val="24"/>
                <w:szCs w:val="24"/>
              </w:rPr>
              <w:t xml:space="preserve">: DLH telah mengoperasikan SILIKA (Sistem Informasi Lingkungan dan Kebersihan Jakarta, dengan dasbor neraca TPS/TPST dan bank sampah) serta layanan digital Bulky Waste/e-Waste (Pemerintah Provinsi DKI Jakarta, 2026b). Ini ancaman utama, bukan sekadar kompetitor sensor.</w:t>
            </w:r>
          </w:p>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Vendor </w:t>
            </w:r>
            <w:r>
              <w:rPr>
                <w:rFonts w:ascii="Times New Roman" w:cs="Times New Roman" w:eastAsia="Times New Roman" w:hAnsi="Times New Roman"/>
                <w:i/>
                <w:iCs/>
                <w:sz w:val="24"/>
                <w:szCs w:val="24"/>
              </w:rPr>
              <w:t xml:space="preserve">fleet-GPS</w:t>
            </w:r>
            <w:r>
              <w:rPr>
                <w:rFonts w:ascii="Times New Roman" w:cs="Times New Roman" w:eastAsia="Times New Roman" w:hAnsi="Times New Roman"/>
                <w:sz w:val="24"/>
                <w:szCs w:val="24"/>
              </w:rPr>
              <w:t xml:space="preserve"> armada eksisting dapat menambahkan sensor </w:t>
            </w:r>
            <w:r>
              <w:rPr>
                <w:rFonts w:ascii="Times New Roman" w:cs="Times New Roman" w:eastAsia="Times New Roman" w:hAnsi="Times New Roman"/>
                <w:i/>
                <w:iCs/>
                <w:sz w:val="24"/>
                <w:szCs w:val="24"/>
              </w:rPr>
              <w:t xml:space="preserve">fill-level</w:t>
            </w:r>
            <w:r>
              <w:rPr>
                <w:rFonts w:ascii="Times New Roman" w:cs="Times New Roman" w:eastAsia="Times New Roman" w:hAnsi="Times New Roman"/>
                <w:sz w:val="24"/>
                <w:szCs w:val="24"/>
              </w:rPr>
              <w:t xml:space="preserve"> sebagai fitur inkremental.</w:t>
            </w:r>
          </w:p>
          <w:p>
            <w:pPr>
              <w:spacing w:after="6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Kompetitor sensor </w:t>
            </w:r>
            <w:r>
              <w:rPr>
                <w:rFonts w:ascii="Times New Roman" w:cs="Times New Roman" w:eastAsia="Times New Roman" w:hAnsi="Times New Roman"/>
                <w:i/>
                <w:iCs/>
                <w:sz w:val="24"/>
                <w:szCs w:val="24"/>
              </w:rPr>
              <w:t xml:space="preserve">fill-level</w:t>
            </w:r>
            <w:r>
              <w:rPr>
                <w:rFonts w:ascii="Times New Roman" w:cs="Times New Roman" w:eastAsia="Times New Roman" w:hAnsi="Times New Roman"/>
                <w:sz w:val="24"/>
                <w:szCs w:val="24"/>
              </w:rPr>
              <w:t xml:space="preserve"> dan optimasi rute global (Sensoneo, Ecube Labs, Compology/RoadRunner) (Sensoneo, 2026; Ecube Labs, 2026; Waste Dive, 2022) dan lokal (Waste4Change, Rekosistem, Microthings) (Waste4Change, 2026; Microthings, 2026).</w:t>
            </w:r>
          </w:p>
          <w:p>
            <w:pPr>
              <w:spacing w:after="0" w:line="276" w:lineRule="auto"/>
              <w:ind w:left="227" w:hanging="22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Risiko kebijakan: implementasi Ingub 5/2026 yang berubah dapat menggeser pola distribusi; mitigasi: platform mengikuti arah kebijakan sebagai </w:t>
            </w:r>
            <w:r>
              <w:rPr>
                <w:rFonts w:ascii="Times New Roman" w:cs="Times New Roman" w:eastAsia="Times New Roman" w:hAnsi="Times New Roman"/>
                <w:i/>
                <w:iCs/>
                <w:sz w:val="24"/>
                <w:szCs w:val="24"/>
              </w:rPr>
              <w:t xml:space="preserve">execution layer</w:t>
            </w:r>
            <w:r>
              <w:rPr>
                <w:rFonts w:ascii="Times New Roman" w:cs="Times New Roman" w:eastAsia="Times New Roman" w:hAnsi="Times New Roman"/>
                <w:sz w:val="24"/>
                <w:szCs w:val="24"/>
              </w:rPr>
              <w:t xml:space="preserve">, bukan menentangnya.</w:t>
            </w:r>
          </w:p>
        </w:tc>
      </w:tr>
    </w:tbl>
    <w:p>
      <w:pPr>
        <w:spacing w:after="120" w:before="40" w:line="240" w:lineRule="auto"/>
        <w:jc w:val="center"/>
      </w:pPr>
      <w:r>
        <w:rPr>
          <w:rFonts w:ascii="Times New Roman" w:cs="Times New Roman" w:eastAsia="Times New Roman" w:hAnsi="Times New Roman"/>
          <w:i/>
          <w:iCs/>
          <w:sz w:val="20"/>
          <w:szCs w:val="20"/>
        </w:rPr>
        <w:t xml:space="preserve">Tabel 6. Analisis SWOT Alurin</w:t>
      </w:r>
    </w:p>
    <w:p>
      <w:pPr>
        <w:spacing w:after="40" w:before="100" w:line="360" w:lineRule="auto"/>
        <w:jc w:val="left"/>
      </w:pPr>
      <w:r>
        <w:rPr>
          <w:rFonts w:ascii="Times New Roman" w:cs="Times New Roman" w:eastAsia="Times New Roman" w:hAnsi="Times New Roman"/>
          <w:b/>
          <w:bCs/>
          <w:sz w:val="24"/>
          <w:szCs w:val="24"/>
        </w:rPr>
        <w:t xml:space="preserve">3.2. Target dan Segmen Pasar</w:t>
      </w:r>
    </w:p>
    <w:p>
      <w:pPr>
        <w:spacing w:after="0" w:line="360" w:lineRule="auto"/>
        <w:ind w:firstLine="709"/>
        <w:jc w:val="both"/>
      </w:pPr>
      <w:r>
        <w:rPr>
          <w:rFonts w:ascii="Times New Roman" w:cs="Times New Roman" w:eastAsia="Times New Roman" w:hAnsi="Times New Roman"/>
          <w:b/>
          <w:bCs/>
          <w:sz w:val="24"/>
          <w:szCs w:val="24"/>
        </w:rPr>
        <w:t xml:space="preserve">Segmentasi pasar</w:t>
      </w:r>
      <w:r>
        <w:rPr>
          <w:rFonts w:ascii="Times New Roman" w:cs="Times New Roman" w:eastAsia="Times New Roman" w:hAnsi="Times New Roman"/>
          <w:sz w:val="24"/>
          <w:szCs w:val="24"/>
        </w:rPr>
        <w:t xml:space="preserve"> dibagi menjadi dua jalur utama:</w:t>
      </w:r>
    </w:p>
    <w:p>
      <w:pPr>
        <w:spacing w:after="40" w:line="360" w:lineRule="auto"/>
        <w:ind w:left="850" w:hanging="283"/>
        <w:jc w:val="both"/>
      </w:pPr>
      <w:r>
        <w:rPr>
          <w:rFonts w:ascii="Times New Roman" w:cs="Times New Roman" w:eastAsia="Times New Roman" w:hAnsi="Times New Roman"/>
          <w:b/>
          <w:bCs/>
          <w:sz w:val="24"/>
          <w:szCs w:val="24"/>
        </w:rPr>
        <w:t xml:space="preserve">B2G (</w:t>
      </w:r>
      <w:r>
        <w:rPr>
          <w:rFonts w:ascii="Times New Roman" w:cs="Times New Roman" w:eastAsia="Times New Roman" w:hAnsi="Times New Roman"/>
          <w:b/>
          <w:bCs/>
          <w:i/>
          <w:iCs/>
          <w:sz w:val="24"/>
          <w:szCs w:val="24"/>
        </w:rPr>
        <w:t xml:space="preserve">Business to Government</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Dinas Lingkungan Hidup (DLH) DKI Jakarta, operator TPST Bantar Gebang, dan operator RDF Plant Rorotan.</w:t>
      </w:r>
    </w:p>
    <w:p>
      <w:pPr>
        <w:spacing w:after="40" w:line="360" w:lineRule="auto"/>
        <w:ind w:left="850" w:hanging="283"/>
        <w:jc w:val="both"/>
      </w:pPr>
      <w:r>
        <w:rPr>
          <w:rFonts w:ascii="Times New Roman" w:cs="Times New Roman" w:eastAsia="Times New Roman" w:hAnsi="Times New Roman"/>
          <w:b/>
          <w:bCs/>
          <w:sz w:val="24"/>
          <w:szCs w:val="24"/>
        </w:rPr>
        <w:t xml:space="preserve">B2B (</w:t>
      </w:r>
      <w:r>
        <w:rPr>
          <w:rFonts w:ascii="Times New Roman" w:cs="Times New Roman" w:eastAsia="Times New Roman" w:hAnsi="Times New Roman"/>
          <w:b/>
          <w:bCs/>
          <w:i/>
          <w:iCs/>
          <w:sz w:val="24"/>
          <w:szCs w:val="24"/>
        </w:rPr>
        <w:t xml:space="preserve">Business to Business</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pengelola gedung perkantoran, mal, dan kawasan industri swasta yang tercakup dalam kewajiban Pergub DKI No. 102/2021 (Pemerintah Provinsi DKI Jakarta, 2021), serta vendor pengangkut sampah berizin sebagai mitra kanal distribusi. Ekspansi ke kota besar lain (Surabaya, Bandung, Medan) direncanakan pada tahun keempat–kelima.</w:t>
      </w:r>
    </w:p>
    <w:p>
      <w:pPr>
        <w:spacing w:after="0" w:line="360" w:lineRule="auto"/>
        <w:ind w:firstLine="709"/>
        <w:jc w:val="both"/>
      </w:pPr>
      <w:r>
        <w:rPr>
          <w:rFonts w:ascii="Times New Roman" w:cs="Times New Roman" w:eastAsia="Times New Roman" w:hAnsi="Times New Roman"/>
          <w:b/>
          <w:bCs/>
          <w:sz w:val="24"/>
          <w:szCs w:val="24"/>
        </w:rPr>
        <w:t xml:space="preserve">Estimasi ukuran pasar</w:t>
      </w:r>
      <w:r>
        <w:rPr>
          <w:rFonts w:ascii="Times New Roman" w:cs="Times New Roman" w:eastAsia="Times New Roman" w:hAnsi="Times New Roman"/>
          <w:sz w:val="24"/>
          <w:szCs w:val="24"/>
        </w:rPr>
        <w:t xml:space="preserve"> (TAM–SAM–SOM):</w:t>
      </w:r>
    </w:p>
    <w:tbl>
      <w:tblPr>
        <w:tblW w:type="dxa" w:w="7596"/>
        <w:tblBorders>
          <w:top w:val="single" w:color="auto" w:sz="4"/>
          <w:left w:val="single" w:color="auto" w:sz="4"/>
          <w:bottom w:val="single" w:color="auto" w:sz="4"/>
          <w:right w:val="single" w:color="auto" w:sz="4"/>
          <w:insideH w:val="single" w:color="auto" w:sz="4"/>
          <w:insideV w:val="single" w:color="auto" w:sz="4"/>
        </w:tblBorders>
      </w:tblPr>
      <w:tblGrid>
        <w:gridCol w:w="1020"/>
        <w:gridCol w:w="6576"/>
      </w:tblGrid>
      <w:tr>
        <w:trPr>
          <w:tblHeader/>
        </w:trPr>
        <w:tc>
          <w:tcPr>
            <w:tcW w:type="dxa" w:w="10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Segmen</w:t>
            </w:r>
          </w:p>
        </w:tc>
        <w:tc>
          <w:tcPr>
            <w:tcW w:type="dxa" w:w="657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Lingkup dan basis</w:t>
            </w:r>
          </w:p>
        </w:tc>
      </w:tr>
      <w:tr>
        <w:tc>
          <w:tcPr>
            <w:tcW w:type="dxa" w:w="102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TAM</w:t>
            </w:r>
          </w:p>
        </w:tc>
        <w:tc>
          <w:tcPr>
            <w:tcW w:type="dxa" w:w="657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Timbulan sampah DKI ±9.000 ton/hari (termasuk komuter) (Kompas, 2026b); 8.615 fasilitas pendukung, termasuk 2.247 bank sampah dan 31 TPS 3R (TVRI News, 2026), sebagai basis titik pemasangan sensor.</w:t>
            </w:r>
          </w:p>
        </w:tc>
      </w:tr>
      <w:tr>
        <w:tc>
          <w:tcPr>
            <w:tcW w:type="dxa" w:w="102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SAM</w:t>
            </w:r>
          </w:p>
        </w:tc>
        <w:tc>
          <w:tcPr>
            <w:tcW w:type="dxa" w:w="657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Kawasan komersial/industri Jabodetabek yang tercakup kewajiban Pergub 102/2021, ditambah jalur B2G DLH DKI (asumsi internal tim).</w:t>
            </w:r>
          </w:p>
        </w:tc>
      </w:tr>
      <w:tr>
        <w:tc>
          <w:tcPr>
            <w:tcW w:type="dxa" w:w="102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SOM</w:t>
            </w:r>
          </w:p>
        </w:tc>
        <w:tc>
          <w:tcPr>
            <w:tcW w:type="dxa" w:w="657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75 (Y1) → 400 (Y2) → 1.000 (Y3) kontainer (target skala tim, Bab 1.2).</w:t>
            </w:r>
          </w:p>
        </w:tc>
      </w:tr>
    </w:tbl>
    <w:p>
      <w:pPr>
        <w:spacing w:after="120" w:before="40" w:line="240" w:lineRule="auto"/>
        <w:jc w:val="center"/>
      </w:pPr>
      <w:r>
        <w:rPr>
          <w:rFonts w:ascii="Times New Roman" w:cs="Times New Roman" w:eastAsia="Times New Roman" w:hAnsi="Times New Roman"/>
          <w:i/>
          <w:iCs/>
          <w:sz w:val="20"/>
          <w:szCs w:val="20"/>
        </w:rPr>
        <w:t xml:space="preserve">Tabel 7. Estimasi ukuran pasar TAM–SAM–SOM</w:t>
      </w:r>
    </w:p>
    <w:p>
      <w:pPr>
        <w:spacing w:after="0" w:line="360" w:lineRule="auto"/>
        <w:ind w:firstLine="709"/>
        <w:jc w:val="both"/>
      </w:pPr>
      <w:r>
        <w:rPr>
          <w:rFonts w:ascii="Times New Roman" w:cs="Times New Roman" w:eastAsia="Times New Roman" w:hAnsi="Times New Roman"/>
          <w:b/>
          <w:bCs/>
          <w:sz w:val="24"/>
          <w:szCs w:val="24"/>
        </w:rPr>
        <w:t xml:space="preserve">Persona pelanggan utama:</w:t>
      </w:r>
    </w:p>
    <w:tbl>
      <w:tblPr>
        <w:tblW w:type="dxa" w:w="7596"/>
        <w:tblBorders>
          <w:top w:val="single" w:color="auto" w:sz="4"/>
          <w:left w:val="single" w:color="auto" w:sz="4"/>
          <w:bottom w:val="single" w:color="auto" w:sz="4"/>
          <w:right w:val="single" w:color="auto" w:sz="4"/>
          <w:insideH w:val="single" w:color="auto" w:sz="4"/>
          <w:insideV w:val="single" w:color="auto" w:sz="4"/>
        </w:tblBorders>
      </w:tblPr>
      <w:tblGrid>
        <w:gridCol w:w="2494"/>
        <w:gridCol w:w="5102"/>
      </w:tblGrid>
      <w:tr>
        <w:trPr>
          <w:tblHeader/>
        </w:trPr>
        <w:tc>
          <w:tcPr>
            <w:tcW w:type="dxa" w:w="249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Persona</w:t>
            </w:r>
          </w:p>
        </w:tc>
        <w:tc>
          <w:tcPr>
            <w:tcW w:type="dxa" w:w="51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Prioritas</w:t>
            </w:r>
          </w:p>
        </w:tc>
      </w:tr>
      <w:tr>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Kepala operasional DLH</w:t>
            </w:r>
          </w:p>
        </w:tc>
        <w:tc>
          <w:tcPr>
            <w:tcW w:type="dxa" w:w="510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Hemat BBM/armada; verifikasi kepatuhan pemilahan; data siap audit.</w:t>
            </w:r>
          </w:p>
        </w:tc>
      </w:tr>
      <w:tr>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Manajer fasilitas gedung/mal</w:t>
            </w:r>
          </w:p>
        </w:tc>
        <w:tc>
          <w:tcPr>
            <w:tcW w:type="dxa" w:w="510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Kepatuhan Pergub 102/2021; kebersihan kawasan; laporan ESG siap pakai.</w:t>
            </w:r>
          </w:p>
        </w:tc>
      </w:tr>
      <w:tr>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Operator RDF/TPST</w:t>
            </w:r>
          </w:p>
        </w:tc>
        <w:tc>
          <w:tcPr>
            <w:tcW w:type="dxa" w:w="510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sz w:val="24"/>
                <w:szCs w:val="24"/>
              </w:rPr>
              <w:t xml:space="preserve">Pasokan sampah bermutu kalor yang lebih konsisten.</w:t>
            </w:r>
          </w:p>
        </w:tc>
      </w:tr>
    </w:tbl>
    <w:p>
      <w:pPr>
        <w:spacing w:after="120" w:before="40" w:line="240" w:lineRule="auto"/>
        <w:jc w:val="center"/>
      </w:pPr>
      <w:r>
        <w:rPr>
          <w:rFonts w:ascii="Times New Roman" w:cs="Times New Roman" w:eastAsia="Times New Roman" w:hAnsi="Times New Roman"/>
          <w:i/>
          <w:iCs/>
          <w:sz w:val="20"/>
          <w:szCs w:val="20"/>
        </w:rPr>
        <w:t xml:space="preserve">Tabel 8. Persona pelanggan utama Alurin</w:t>
      </w:r>
    </w:p>
    <w:p>
      <w:pPr>
        <w:spacing w:after="40" w:before="100" w:line="360" w:lineRule="auto"/>
        <w:jc w:val="left"/>
      </w:pPr>
      <w:r>
        <w:rPr>
          <w:rFonts w:ascii="Times New Roman" w:cs="Times New Roman" w:eastAsia="Times New Roman" w:hAnsi="Times New Roman"/>
          <w:b/>
          <w:bCs/>
          <w:sz w:val="24"/>
          <w:szCs w:val="24"/>
        </w:rPr>
        <w:t xml:space="preserve">3.3. Strategi Pemasaran</w:t>
      </w:r>
    </w:p>
    <w:p>
      <w:pPr>
        <w:spacing w:after="40" w:line="360" w:lineRule="auto"/>
        <w:ind w:left="850" w:hanging="283"/>
        <w:jc w:val="both"/>
      </w:pPr>
      <w:r>
        <w:rPr>
          <w:rFonts w:ascii="Times New Roman" w:cs="Times New Roman" w:eastAsia="Times New Roman" w:hAnsi="Times New Roman"/>
          <w:b/>
          <w:bCs/>
          <w:sz w:val="24"/>
          <w:szCs w:val="24"/>
        </w:rPr>
        <w:t xml:space="preserve">Jalur B2G:</w:t>
      </w:r>
      <w:r>
        <w:rPr>
          <w:rFonts w:ascii="Times New Roman" w:cs="Times New Roman" w:eastAsia="Times New Roman" w:hAnsi="Times New Roman"/>
          <w:sz w:val="24"/>
          <w:szCs w:val="24"/>
        </w:rPr>
        <w:t xml:space="preserve"> pendaftaran vendor teknologi DKI melalui </w:t>
      </w:r>
      <w:r>
        <w:rPr>
          <w:rFonts w:ascii="Times New Roman" w:cs="Times New Roman" w:eastAsia="Times New Roman" w:hAnsi="Times New Roman"/>
          <w:i/>
          <w:iCs/>
          <w:sz w:val="24"/>
          <w:szCs w:val="24"/>
        </w:rPr>
        <w:t xml:space="preserve">e-Katalog</w:t>
      </w:r>
      <w:r>
        <w:rPr>
          <w:rFonts w:ascii="Times New Roman" w:cs="Times New Roman" w:eastAsia="Times New Roman" w:hAnsi="Times New Roman"/>
          <w:sz w:val="24"/>
          <w:szCs w:val="24"/>
        </w:rPr>
        <w:t xml:space="preserve">/LKPP (wajib untuk K/L/Pemda sejak 1 Januari 2025) dan pengajuan pilot bersama DLH DKI (Lembaga Kebijakan Pengadaan Barang/Jasa Pemerintah, 2024). Siklus pengadaan IT pemerintah diperkirakan 6–18 bulan (asumsi, sejalan ketentuan kontrak multi-tahun LKPP; Lembaga Kebijakan Pengadaan Barang/Jasa Pemerintah, 2018), sehingga pendapatan B2G diproyeksikan mulai tahun kedua (Bab 5). Narasi keselarasan Ingub 5/2026 menjadi modal utama.</w:t>
      </w:r>
    </w:p>
    <w:p>
      <w:pPr>
        <w:spacing w:after="40" w:line="360" w:lineRule="auto"/>
        <w:ind w:left="850" w:hanging="283"/>
        <w:jc w:val="both"/>
      </w:pPr>
      <w:r>
        <w:rPr>
          <w:rFonts w:ascii="Times New Roman" w:cs="Times New Roman" w:eastAsia="Times New Roman" w:hAnsi="Times New Roman"/>
          <w:b/>
          <w:bCs/>
          <w:sz w:val="24"/>
          <w:szCs w:val="24"/>
        </w:rPr>
        <w:t xml:space="preserve">Jalur B2B:</w:t>
      </w:r>
      <w:r>
        <w:rPr>
          <w:rFonts w:ascii="Times New Roman" w:cs="Times New Roman" w:eastAsia="Times New Roman" w:hAnsi="Times New Roman"/>
          <w:sz w:val="24"/>
          <w:szCs w:val="24"/>
        </w:rPr>
        <w:t xml:space="preserve"> pendekatan langsung ke asosiasi pengelola gedung dan mal, serta kemitraan dengan vendor pengangkut sampah berizin.</w:t>
      </w:r>
    </w:p>
    <w:p>
      <w:pPr>
        <w:spacing w:after="40" w:line="360" w:lineRule="auto"/>
        <w:ind w:left="850" w:hanging="283"/>
        <w:jc w:val="both"/>
      </w:pPr>
      <w:r>
        <w:rPr>
          <w:rFonts w:ascii="Times New Roman" w:cs="Times New Roman" w:eastAsia="Times New Roman" w:hAnsi="Times New Roman"/>
          <w:b/>
          <w:bCs/>
          <w:sz w:val="24"/>
          <w:szCs w:val="24"/>
        </w:rPr>
        <w:t xml:space="preserve">Positioning: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Execution &amp; verification layer</w:t>
      </w:r>
      <w:r>
        <w:rPr>
          <w:rFonts w:ascii="Times New Roman" w:cs="Times New Roman" w:eastAsia="Times New Roman" w:hAnsi="Times New Roman"/>
          <w:sz w:val="24"/>
          <w:szCs w:val="24"/>
        </w:rPr>
        <w:t xml:space="preserve"> untuk pengelolaan sampah kota — patuh Ingub 5/2026, hemat BBM, data ESG siap audit.” Diferensiasi terhadap kompetitor (DLH in-house SILIKA, vendor fleet-GPS) ditekankan pada integrasi khusus ekosistem RDF Rorotan/Bantar Gebang dan kedalaman data kepatuhan pemilahan.</w:t>
      </w:r>
    </w:p>
    <w:p>
      <w:pPr>
        <w:spacing w:after="40" w:line="360" w:lineRule="auto"/>
        <w:ind w:left="850" w:hanging="283"/>
        <w:jc w:val="both"/>
      </w:pPr>
      <w:r>
        <w:rPr>
          <w:rFonts w:ascii="Times New Roman" w:cs="Times New Roman" w:eastAsia="Times New Roman" w:hAnsi="Times New Roman"/>
          <w:b/>
          <w:bCs/>
          <w:sz w:val="24"/>
          <w:szCs w:val="24"/>
        </w:rPr>
        <w:t xml:space="preserve">Model harga</w:t>
      </w:r>
      <w:r>
        <w:rPr>
          <w:rFonts w:ascii="Times New Roman" w:cs="Times New Roman" w:eastAsia="Times New Roman" w:hAnsi="Times New Roman"/>
          <w:sz w:val="24"/>
          <w:szCs w:val="24"/>
        </w:rPr>
        <w:t xml:space="preserve"> (rincian di Bab 5): lisensi SaaS tahunan + penjualan unit sensor (pass-through) untuk B2G; langganan bulanan per kontainer untuk B2B; modul ESG tambahan.</w:t>
      </w:r>
    </w:p>
    <w:p>
      <w:pPr>
        <w:spacing w:after="0" w:before="160" w:line="360" w:lineRule="auto"/>
        <w:jc w:val="center"/>
      </w:pPr>
      <w:r>
        <w:rPr>
          <w:rFonts w:ascii="Times New Roman" w:cs="Times New Roman" w:eastAsia="Times New Roman" w:hAnsi="Times New Roman"/>
          <w:b/>
          <w:bCs/>
          <w:sz w:val="28"/>
          <w:szCs w:val="28"/>
        </w:rPr>
        <w:t xml:space="preserve">Bab 4</w:t>
      </w:r>
    </w:p>
    <w:p>
      <w:pPr>
        <w:spacing w:after="100" w:before="0" w:line="360" w:lineRule="auto"/>
        <w:jc w:val="center"/>
      </w:pPr>
      <w:r>
        <w:rPr>
          <w:rFonts w:ascii="Times New Roman" w:cs="Times New Roman" w:eastAsia="Times New Roman" w:hAnsi="Times New Roman"/>
          <w:b/>
          <w:bCs/>
          <w:sz w:val="28"/>
          <w:szCs w:val="28"/>
        </w:rPr>
        <w:t xml:space="preserve">Rencana Operasional dan Manajemen</w:t>
      </w:r>
    </w:p>
    <w:p>
      <w:pPr>
        <w:spacing w:after="40" w:before="100" w:line="360" w:lineRule="auto"/>
        <w:jc w:val="left"/>
      </w:pPr>
      <w:r>
        <w:rPr>
          <w:rFonts w:ascii="Times New Roman" w:cs="Times New Roman" w:eastAsia="Times New Roman" w:hAnsi="Times New Roman"/>
          <w:b/>
          <w:bCs/>
          <w:sz w:val="24"/>
          <w:szCs w:val="24"/>
        </w:rPr>
        <w:t xml:space="preserve">4.1. Struktur Organisasi</w:t>
      </w:r>
    </w:p>
    <w:p>
      <w:pPr>
        <w:spacing w:after="0" w:line="360" w:lineRule="auto"/>
        <w:ind w:firstLine="709"/>
        <w:jc w:val="both"/>
      </w:pPr>
      <w:r>
        <w:rPr>
          <w:rFonts w:ascii="Times New Roman" w:cs="Times New Roman" w:eastAsia="Times New Roman" w:hAnsi="Times New Roman"/>
          <w:sz w:val="24"/>
          <w:szCs w:val="24"/>
        </w:rPr>
        <w:t xml:space="preserve">Pada tahun pertama, struktur organisasi Alurin bertumpu pada tiga pendiri yang merangkap peran inti, didukung staf operasional lapangan (asumsi kerja tim, dapat disesuaikan). Struktur diekspansi bertahap mengikuti pertumbuhan cakupan kontainer (75 → 400 → 1.000) pada Bab 3.2.</w:t>
      </w:r>
    </w:p>
    <w:tbl>
      <w:tblPr>
        <w:tblW w:type="dxa" w:w="8164"/>
        <w:tblBorders>
          <w:top w:val="single" w:color="auto" w:sz="4"/>
          <w:left w:val="single" w:color="auto" w:sz="4"/>
          <w:bottom w:val="single" w:color="auto" w:sz="4"/>
          <w:right w:val="single" w:color="auto" w:sz="4"/>
          <w:insideH w:val="single" w:color="auto" w:sz="4"/>
          <w:insideV w:val="single" w:color="auto" w:sz="4"/>
        </w:tblBorders>
      </w:tblPr>
      <w:tblGrid>
        <w:gridCol w:w="2381"/>
        <w:gridCol w:w="2041"/>
        <w:gridCol w:w="3742"/>
      </w:tblGrid>
      <w:tr>
        <w:tc>
          <w:tcPr>
            <w:tcW w:type="dxa" w:w="238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Peran</w:t>
            </w:r>
          </w:p>
        </w:tc>
        <w:tc>
          <w:tcPr>
            <w:tcW w:type="dxa" w:w="204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Pemegang / rekrutan</w:t>
            </w:r>
          </w:p>
        </w:tc>
        <w:tc>
          <w:tcPr>
            <w:tcW w:type="dxa" w:w="37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Tanggung jawab utama</w:t>
            </w:r>
          </w:p>
        </w:tc>
      </w:tr>
      <w:tr>
        <w:tc>
          <w:tcPr>
            <w:tcW w:type="dxa" w:w="238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CEO / Co-Founder</w:t>
            </w:r>
          </w:p>
        </w:tc>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Hansel Stevan Boike</w:t>
            </w:r>
          </w:p>
        </w:tc>
        <w:tc>
          <w:tcPr>
            <w:tcW w:type="dxa" w:w="374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Strategi bisnis, hubungan B2G/kemitraan pemerintah, keuangan</w:t>
            </w:r>
          </w:p>
        </w:tc>
      </w:tr>
      <w:tr>
        <w:tc>
          <w:tcPr>
            <w:tcW w:type="dxa" w:w="238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CTO / Co-Founder</w:t>
            </w:r>
          </w:p>
        </w:tc>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Bryan Patrick Kurniawan</w:t>
            </w:r>
          </w:p>
        </w:tc>
        <w:tc>
          <w:tcPr>
            <w:tcW w:type="dxa" w:w="374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Pengembangan platform (sensor firmware, Dynamic Routing AI, Predictive RDF Allocation), infrastruktur cloud</w:t>
            </w:r>
          </w:p>
        </w:tc>
      </w:tr>
      <w:tr>
        <w:tc>
          <w:tcPr>
            <w:tcW w:type="dxa" w:w="238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COO / Co-Founder</w:t>
            </w:r>
          </w:p>
        </w:tc>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Michael Hau</w:t>
            </w:r>
          </w:p>
        </w:tc>
        <w:tc>
          <w:tcPr>
            <w:tcW w:type="dxa" w:w="374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Operasional lapangan, pengadaan &amp; pemasangan sensor, hubungan B2B</w:t>
            </w:r>
          </w:p>
        </w:tc>
      </w:tr>
      <w:tr>
        <w:tc>
          <w:tcPr>
            <w:tcW w:type="dxa" w:w="238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Software Engineer (junior–mid)</w:t>
            </w:r>
          </w:p>
        </w:tc>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rekrutan tahun 1</w:t>
            </w:r>
          </w:p>
        </w:tc>
        <w:tc>
          <w:tcPr>
            <w:tcW w:type="dxa" w:w="374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Pengembangan backend, integrasi data sensor, dashboard</w:t>
            </w:r>
          </w:p>
        </w:tc>
      </w:tr>
      <w:tr>
        <w:tc>
          <w:tcPr>
            <w:tcW w:type="dxa" w:w="238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Field Deployment Technician</w:t>
            </w:r>
          </w:p>
        </w:tc>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rekrutan tahun 1</w:t>
            </w:r>
          </w:p>
        </w:tc>
        <w:tc>
          <w:tcPr>
            <w:tcW w:type="dxa" w:w="374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Instalasi, kalibrasi, dan pemeliharaan sensor IoT di lapangan</w:t>
            </w:r>
          </w:p>
        </w:tc>
      </w:tr>
      <w:tr>
        <w:tc>
          <w:tcPr>
            <w:tcW w:type="dxa" w:w="238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Business Development / Sales</w:t>
            </w:r>
          </w:p>
        </w:tc>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rekrutan tahun 1</w:t>
            </w:r>
          </w:p>
        </w:tc>
        <w:tc>
          <w:tcPr>
            <w:tcW w:type="dxa" w:w="374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Akuisisi mitra B2B, kemitraan vendor pengangkut</w:t>
            </w:r>
          </w:p>
        </w:tc>
      </w:tr>
      <w:tr>
        <w:tc>
          <w:tcPr>
            <w:tcW w:type="dxa" w:w="238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Data/AI Engineer</w:t>
            </w:r>
          </w:p>
        </w:tc>
        <w:tc>
          <w:tcPr>
            <w:tcW w:type="dxa" w:w="204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rekrutan tahun 2</w:t>
            </w:r>
          </w:p>
        </w:tc>
        <w:tc>
          <w:tcPr>
            <w:tcW w:type="dxa" w:w="374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Pengembangan model routing dan alokasi RDF</w:t>
            </w:r>
          </w:p>
        </w:tc>
      </w:tr>
    </w:tbl>
    <w:p>
      <w:pPr>
        <w:spacing w:after="120" w:before="40" w:line="240" w:lineRule="auto"/>
        <w:jc w:val="center"/>
      </w:pPr>
      <w:r>
        <w:rPr>
          <w:rFonts w:ascii="Times New Roman" w:cs="Times New Roman" w:eastAsia="Times New Roman" w:hAnsi="Times New Roman"/>
          <w:i/>
          <w:iCs/>
          <w:sz w:val="20"/>
          <w:szCs w:val="20"/>
        </w:rPr>
        <w:t xml:space="preserve">Tabel 9. Struktur organisasi Alurin (asumsi pembagian peran tim)</w:t>
      </w:r>
    </w:p>
    <w:p>
      <w:pPr>
        <w:spacing w:after="40" w:before="100" w:line="360" w:lineRule="auto"/>
        <w:jc w:val="left"/>
      </w:pPr>
      <w:r>
        <w:rPr>
          <w:rFonts w:ascii="Times New Roman" w:cs="Times New Roman" w:eastAsia="Times New Roman" w:hAnsi="Times New Roman"/>
          <w:b/>
          <w:bCs/>
          <w:sz w:val="24"/>
          <w:szCs w:val="24"/>
        </w:rPr>
        <w:t xml:space="preserve">4.2. Rencana Kebutuhan Sumber Daya Manusia</w:t>
      </w:r>
    </w:p>
    <w:p>
      <w:pPr>
        <w:spacing w:after="0" w:line="360" w:lineRule="auto"/>
        <w:ind w:firstLine="709"/>
        <w:jc w:val="both"/>
      </w:pPr>
      <w:r>
        <w:rPr>
          <w:rFonts w:ascii="Times New Roman" w:cs="Times New Roman" w:eastAsia="Times New Roman" w:hAnsi="Times New Roman"/>
          <w:sz w:val="24"/>
          <w:szCs w:val="24"/>
        </w:rPr>
        <w:t xml:space="preserve">Estimasi gaji berikut disusun dari kisaran pasar tenaga kerja Jakarta 2026 untuk peran sejenis dan disesuaikan ke titik konservatif agar realistis bagi </w:t>
      </w:r>
      <w:r>
        <w:rPr>
          <w:rFonts w:ascii="Times New Roman" w:cs="Times New Roman" w:eastAsia="Times New Roman" w:hAnsi="Times New Roman"/>
          <w:i/>
          <w:iCs/>
          <w:sz w:val="24"/>
          <w:szCs w:val="24"/>
        </w:rPr>
        <w:t xml:space="preserve">startup</w:t>
      </w:r>
      <w:r>
        <w:rPr>
          <w:rFonts w:ascii="Times New Roman" w:cs="Times New Roman" w:eastAsia="Times New Roman" w:hAnsi="Times New Roman"/>
          <w:sz w:val="24"/>
          <w:szCs w:val="24"/>
        </w:rPr>
        <w:t xml:space="preserve"> tahap awal. Seluruh headcount dan besaran gaji merupakan </w:t>
      </w:r>
      <w:r>
        <w:rPr>
          <w:rFonts w:ascii="Times New Roman" w:cs="Times New Roman" w:eastAsia="Times New Roman" w:hAnsi="Times New Roman"/>
          <w:b/>
          <w:bCs/>
          <w:sz w:val="24"/>
          <w:szCs w:val="24"/>
        </w:rPr>
        <w:t xml:space="preserve">asumsi perencanaan tim</w:t>
      </w:r>
      <w:r>
        <w:rPr>
          <w:rFonts w:ascii="Times New Roman" w:cs="Times New Roman" w:eastAsia="Times New Roman" w:hAnsi="Times New Roman"/>
          <w:sz w:val="24"/>
          <w:szCs w:val="24"/>
        </w:rPr>
        <w:t xml:space="preserve">, dasar proyeksi biaya pada Bab 5.</w:t>
      </w:r>
    </w:p>
    <w:tbl>
      <w:tblPr>
        <w:tblW w:type="dxa" w:w="8164"/>
        <w:tblBorders>
          <w:top w:val="single" w:color="auto" w:sz="4"/>
          <w:left w:val="single" w:color="auto" w:sz="4"/>
          <w:bottom w:val="single" w:color="auto" w:sz="4"/>
          <w:right w:val="single" w:color="auto" w:sz="4"/>
          <w:insideH w:val="single" w:color="auto" w:sz="4"/>
          <w:insideV w:val="single" w:color="auto" w:sz="4"/>
        </w:tblBorders>
      </w:tblPr>
      <w:tblGrid>
        <w:gridCol w:w="2268"/>
        <w:gridCol w:w="907"/>
        <w:gridCol w:w="907"/>
        <w:gridCol w:w="1361"/>
        <w:gridCol w:w="2721"/>
      </w:tblGrid>
      <w:tr>
        <w:tc>
          <w:tcPr>
            <w:tcW w:type="dxa" w:w="226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Peran</w:t>
            </w:r>
          </w:p>
        </w:tc>
        <w:tc>
          <w:tcPr>
            <w:tcW w:type="dxa" w:w="9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Y1 (org)</w:t>
            </w:r>
          </w:p>
        </w:tc>
        <w:tc>
          <w:tcPr>
            <w:tcW w:type="dxa" w:w="9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Y2/Y3 (org)</w:t>
            </w:r>
          </w:p>
        </w:tc>
        <w:tc>
          <w:tcPr>
            <w:tcW w:type="dxa" w:w="13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Gaji/bulan (Rp)</w:t>
            </w:r>
          </w:p>
        </w:tc>
        <w:tc>
          <w:tcPr>
            <w:tcW w:type="dxa" w:w="272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Acuan kisaran pasar</w:t>
            </w:r>
          </w:p>
        </w:tc>
      </w:tr>
      <w:tr>
        <w:tc>
          <w:tcPr>
            <w:tcW w:type="dxa" w:w="226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Co-Founder (CEO/CTO/COO)</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4.000.000</w:t>
            </w:r>
          </w:p>
        </w:tc>
        <w:tc>
          <w:tcPr>
            <w:tcW w:type="dxa" w:w="272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Gaji pendiri minimal (asumsi, bootstrap)</w:t>
            </w:r>
          </w:p>
        </w:tc>
      </w:tr>
      <w:tr>
        <w:tc>
          <w:tcPr>
            <w:tcW w:type="dxa" w:w="226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Software Engineer (junior–mid)</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12.000.000</w:t>
            </w:r>
          </w:p>
        </w:tc>
        <w:tc>
          <w:tcPr>
            <w:tcW w:type="dxa" w:w="272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 9–18 jt/bulan (asumsi)</w:t>
            </w:r>
          </w:p>
        </w:tc>
      </w:tr>
      <w:tr>
        <w:tc>
          <w:tcPr>
            <w:tcW w:type="dxa" w:w="226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Field Deployment Technician</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2 (Y3)</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7.000.000</w:t>
            </w:r>
          </w:p>
        </w:tc>
        <w:tc>
          <w:tcPr>
            <w:tcW w:type="dxa" w:w="272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 5,5–9 jt/bulan; lantai UMP DKI Rp 5,73 jt (GeekHunter, 2026; Kompas, 2026d)</w:t>
            </w:r>
          </w:p>
        </w:tc>
      </w:tr>
      <w:tr>
        <w:tc>
          <w:tcPr>
            <w:tcW w:type="dxa" w:w="226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Business Development / Sales</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8.000.000</w:t>
            </w:r>
          </w:p>
        </w:tc>
        <w:tc>
          <w:tcPr>
            <w:tcW w:type="dxa" w:w="272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 6–12 jt/bulan (Jobstreet (SEEK), 2025)</w:t>
            </w:r>
          </w:p>
        </w:tc>
      </w:tr>
      <w:tr>
        <w:tc>
          <w:tcPr>
            <w:tcW w:type="dxa" w:w="226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Data/AI Engineer</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 (Y2)</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15.000.000</w:t>
            </w:r>
          </w:p>
        </w:tc>
        <w:tc>
          <w:tcPr>
            <w:tcW w:type="dxa" w:w="272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 12–25 jt/bulan (asumsi)</w:t>
            </w:r>
          </w:p>
        </w:tc>
      </w:tr>
      <w:tr>
        <w:tc>
          <w:tcPr>
            <w:tcW w:type="dxa" w:w="226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Teknisi/support tambahan</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 (Y3)</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8.000.000</w:t>
            </w:r>
          </w:p>
        </w:tc>
        <w:tc>
          <w:tcPr>
            <w:tcW w:type="dxa" w:w="272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Asumsi</w:t>
            </w:r>
          </w:p>
        </w:tc>
      </w:tr>
      <w:tr>
        <w:tc>
          <w:tcPr>
            <w:tcW w:type="dxa" w:w="226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Total biaya SDM/bulan</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39.000.000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54 (Y2) / 62 (Y3)</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
            </w:r>
          </w:p>
        </w:tc>
        <w:tc>
          <w:tcPr>
            <w:tcW w:type="dxa" w:w="272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
            </w:r>
          </w:p>
        </w:tc>
      </w:tr>
    </w:tbl>
    <w:p>
      <w:pPr>
        <w:spacing w:after="120" w:before="40" w:line="240" w:lineRule="auto"/>
        <w:jc w:val="center"/>
      </w:pPr>
      <w:r>
        <w:rPr>
          <w:rFonts w:ascii="Times New Roman" w:cs="Times New Roman" w:eastAsia="Times New Roman" w:hAnsi="Times New Roman"/>
          <w:i/>
          <w:iCs/>
          <w:sz w:val="20"/>
          <w:szCs w:val="20"/>
        </w:rPr>
        <w:t xml:space="preserve">Tabel 10. Rencana kebutuhan SDM 3 tahun (asumsi tim)</w:t>
      </w:r>
    </w:p>
    <w:p>
      <w:pPr>
        <w:spacing w:after="0" w:line="360" w:lineRule="auto"/>
        <w:ind w:firstLine="709"/>
        <w:jc w:val="both"/>
      </w:pPr>
      <w:r>
        <w:rPr>
          <w:rFonts w:ascii="Times New Roman" w:cs="Times New Roman" w:eastAsia="Times New Roman" w:hAnsi="Times New Roman"/>
          <w:b/>
          <w:bCs/>
          <w:sz w:val="24"/>
          <w:szCs w:val="24"/>
        </w:rPr>
        <w:t xml:space="preserve">Biaya SDM tahunan</w:t>
      </w:r>
      <w:r>
        <w:rPr>
          <w:rFonts w:ascii="Times New Roman" w:cs="Times New Roman" w:eastAsia="Times New Roman" w:hAnsi="Times New Roman"/>
          <w:sz w:val="24"/>
          <w:szCs w:val="24"/>
        </w:rPr>
        <w:t xml:space="preserve"> (asumsi): Y1 = 39 juta × 12 = </w:t>
      </w:r>
      <w:r>
        <w:rPr>
          <w:rFonts w:ascii="Times New Roman" w:cs="Times New Roman" w:eastAsia="Times New Roman" w:hAnsi="Times New Roman"/>
          <w:b/>
          <w:bCs/>
          <w:sz w:val="24"/>
          <w:szCs w:val="24"/>
        </w:rPr>
        <w:t xml:space="preserve">Rp468 juta</w:t>
      </w:r>
      <w:r>
        <w:rPr>
          <w:rFonts w:ascii="Times New Roman" w:cs="Times New Roman" w:eastAsia="Times New Roman" w:hAnsi="Times New Roman"/>
          <w:sz w:val="24"/>
          <w:szCs w:val="24"/>
        </w:rPr>
        <w:t xml:space="preserve">; Y2 = 54 juta × 12 = </w:t>
      </w:r>
      <w:r>
        <w:rPr>
          <w:rFonts w:ascii="Times New Roman" w:cs="Times New Roman" w:eastAsia="Times New Roman" w:hAnsi="Times New Roman"/>
          <w:b/>
          <w:bCs/>
          <w:sz w:val="24"/>
          <w:szCs w:val="24"/>
        </w:rPr>
        <w:t xml:space="preserve">Rp648 juta</w:t>
      </w:r>
      <w:r>
        <w:rPr>
          <w:rFonts w:ascii="Times New Roman" w:cs="Times New Roman" w:eastAsia="Times New Roman" w:hAnsi="Times New Roman"/>
          <w:sz w:val="24"/>
          <w:szCs w:val="24"/>
        </w:rPr>
        <w:t xml:space="preserve">; Y3 = 62 juta × 12 = </w:t>
      </w:r>
      <w:r>
        <w:rPr>
          <w:rFonts w:ascii="Times New Roman" w:cs="Times New Roman" w:eastAsia="Times New Roman" w:hAnsi="Times New Roman"/>
          <w:b/>
          <w:bCs/>
          <w:sz w:val="24"/>
          <w:szCs w:val="24"/>
        </w:rPr>
        <w:t xml:space="preserve">Rp744 juta</w:t>
      </w:r>
      <w:r>
        <w:rPr>
          <w:rFonts w:ascii="Times New Roman" w:cs="Times New Roman" w:eastAsia="Times New Roman" w:hAnsi="Times New Roman"/>
          <w:sz w:val="24"/>
          <w:szCs w:val="24"/>
        </w:rPr>
        <w:t xml:space="preserve">. Angka ini menjadi dasar beban operasional pada Bab 5.3. Ekspansi staf lapangan dan </w:t>
      </w:r>
      <w:r>
        <w:rPr>
          <w:rFonts w:ascii="Times New Roman" w:cs="Times New Roman" w:eastAsia="Times New Roman" w:hAnsi="Times New Roman"/>
          <w:i/>
          <w:iCs/>
          <w:sz w:val="24"/>
          <w:szCs w:val="24"/>
        </w:rPr>
        <w:t xml:space="preserve">support</w:t>
      </w:r>
      <w:r>
        <w:rPr>
          <w:rFonts w:ascii="Times New Roman" w:cs="Times New Roman" w:eastAsia="Times New Roman" w:hAnsi="Times New Roman"/>
          <w:sz w:val="24"/>
          <w:szCs w:val="24"/>
        </w:rPr>
        <w:t xml:space="preserve"> pada tahun keempat–kelima mengikuti target 2.000–3.000 unit sensor dan akan disesuaikan dengan kondisi pendanaan aktual.</w:t>
      </w:r>
    </w:p>
    <w:p>
      <w:pPr>
        <w:spacing w:after="0" w:before="160" w:line="360" w:lineRule="auto"/>
        <w:jc w:val="center"/>
      </w:pPr>
      <w:r>
        <w:rPr>
          <w:rFonts w:ascii="Times New Roman" w:cs="Times New Roman" w:eastAsia="Times New Roman" w:hAnsi="Times New Roman"/>
          <w:b/>
          <w:bCs/>
          <w:sz w:val="28"/>
          <w:szCs w:val="28"/>
        </w:rPr>
        <w:t xml:space="preserve">Bab 5</w:t>
      </w:r>
    </w:p>
    <w:p>
      <w:pPr>
        <w:spacing w:after="100" w:before="0" w:line="360" w:lineRule="auto"/>
        <w:jc w:val="center"/>
      </w:pPr>
      <w:r>
        <w:rPr>
          <w:rFonts w:ascii="Times New Roman" w:cs="Times New Roman" w:eastAsia="Times New Roman" w:hAnsi="Times New Roman"/>
          <w:b/>
          <w:bCs/>
          <w:sz w:val="28"/>
          <w:szCs w:val="28"/>
        </w:rPr>
        <w:t xml:space="preserve">Analisis Keuangan</w:t>
      </w:r>
    </w:p>
    <w:p>
      <w:pPr>
        <w:spacing w:after="0" w:line="360" w:lineRule="auto"/>
        <w:ind w:firstLine="709"/>
        <w:jc w:val="both"/>
      </w:pPr>
      <w:r>
        <w:rPr>
          <w:rFonts w:ascii="Times New Roman" w:cs="Times New Roman" w:eastAsia="Times New Roman" w:hAnsi="Times New Roman"/>
          <w:sz w:val="24"/>
          <w:szCs w:val="24"/>
        </w:rPr>
        <w:t xml:space="preserve">Seluruh angka pada bab ini adalah proyeksi tim berdasarkan target skala Bab 1.2/3.2; butir yang bersumber pada data pasar riil disitasi, sisanya berlabel </w:t>
      </w:r>
      <w:r>
        <w:rPr>
          <w:rFonts w:ascii="Times New Roman" w:cs="Times New Roman" w:eastAsia="Times New Roman" w:hAnsi="Times New Roman"/>
          <w:b/>
          <w:bCs/>
          <w:sz w:val="24"/>
          <w:szCs w:val="24"/>
        </w:rPr>
        <w:t xml:space="preserve">(asumsi)</w:t>
      </w:r>
      <w:r>
        <w:rPr>
          <w:rFonts w:ascii="Times New Roman" w:cs="Times New Roman" w:eastAsia="Times New Roman" w:hAnsi="Times New Roman"/>
          <w:sz w:val="24"/>
          <w:szCs w:val="24"/>
        </w:rPr>
        <w:t xml:space="preserve">. Proyeksi menggunakan horizon lima tahun, selaras dengan Bab 2.4.</w:t>
      </w:r>
    </w:p>
    <w:p>
      <w:pPr>
        <w:spacing w:after="40" w:before="100" w:line="360" w:lineRule="auto"/>
        <w:jc w:val="left"/>
      </w:pPr>
      <w:r>
        <w:rPr>
          <w:rFonts w:ascii="Times New Roman" w:cs="Times New Roman" w:eastAsia="Times New Roman" w:hAnsi="Times New Roman"/>
          <w:b/>
          <w:bCs/>
          <w:sz w:val="24"/>
          <w:szCs w:val="24"/>
        </w:rPr>
        <w:t xml:space="preserve">5.1. Kebutuhan Modal Awal</w:t>
      </w:r>
    </w:p>
    <w:tbl>
      <w:tblPr>
        <w:tblW w:type="dxa" w:w="8164"/>
        <w:tblBorders>
          <w:top w:val="single" w:color="auto" w:sz="4"/>
          <w:left w:val="single" w:color="auto" w:sz="4"/>
          <w:bottom w:val="single" w:color="auto" w:sz="4"/>
          <w:right w:val="single" w:color="auto" w:sz="4"/>
          <w:insideH w:val="single" w:color="auto" w:sz="4"/>
          <w:insideV w:val="single" w:color="auto" w:sz="4"/>
        </w:tblBorders>
      </w:tblPr>
      <w:tblGrid>
        <w:gridCol w:w="4309"/>
        <w:gridCol w:w="1361"/>
        <w:gridCol w:w="2494"/>
      </w:tblGrid>
      <w:tr>
        <w:tc>
          <w:tcPr>
            <w:tcW w:type="dxa" w:w="430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Komponen</w:t>
            </w:r>
          </w:p>
        </w:tc>
        <w:tc>
          <w:tcPr>
            <w:tcW w:type="dxa" w:w="13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Biaya (Rp)</w:t>
            </w:r>
          </w:p>
        </w:tc>
        <w:tc>
          <w:tcPr>
            <w:tcW w:type="dxa" w:w="249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Status</w:t>
            </w:r>
          </w:p>
        </w:tc>
      </w:tr>
      <w:tr>
        <w:tc>
          <w:tcPr>
            <w:tcW w:type="dxa" w:w="43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Sensor IoT fill-level (75 unit × Rp2.500.000, Microthings DF703)</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187.500.000</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Harga pasar (Microthings, 2026)</w:t>
            </w:r>
          </w:p>
        </w:tc>
      </w:tr>
      <w:tr>
        <w:tc>
          <w:tcPr>
            <w:tcW w:type="dxa" w:w="43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Instalasi &amp; kalibrasi sensor (75 unit)</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22.500.000</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Asumsi</w:t>
            </w:r>
          </w:p>
        </w:tc>
      </w:tr>
      <w:tr>
        <w:tc>
          <w:tcPr>
            <w:tcW w:type="dxa" w:w="43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Konektivitas IoT NB-IoT 12 bulan (75 unit × Rp35.000/bulan)</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31.500.000</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Tarif pasar (iotm2m.id, 2026)</w:t>
            </w:r>
          </w:p>
        </w:tc>
      </w:tr>
      <w:tr>
        <w:tc>
          <w:tcPr>
            <w:tcW w:type="dxa" w:w="43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Infrastruktur cloud awal (setup + 12 bulan)</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12.000.000</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Estimasi teknis (Amazon Web Services, 2026)</w:t>
            </w:r>
          </w:p>
        </w:tc>
      </w:tr>
      <w:tr>
        <w:tc>
          <w:tcPr>
            <w:tcW w:type="dxa" w:w="43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Pengembangan MVP platform (routing AI, dashboard, backend)</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100.000.000</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Asumsi</w:t>
            </w:r>
          </w:p>
        </w:tc>
      </w:tr>
      <w:tr>
        <w:tc>
          <w:tcPr>
            <w:tcW w:type="dxa" w:w="43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Legalitas, perizinan usaha, branding, materi pitching</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25.000.000</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Asumsi</w:t>
            </w:r>
          </w:p>
        </w:tc>
      </w:tr>
      <w:tr>
        <w:tc>
          <w:tcPr>
            <w:tcW w:type="dxa" w:w="43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Modal kerja/buffer (3 bulan beban operasional penuh)</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150.000.000</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Asumsi (lihat Bab 4.2)</w:t>
            </w:r>
          </w:p>
        </w:tc>
      </w:tr>
      <w:tr>
        <w:tc>
          <w:tcPr>
            <w:tcW w:type="dxa" w:w="430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Total Modal Awal</w:t>
            </w:r>
          </w:p>
        </w:tc>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528.500.000</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
            </w:r>
          </w:p>
        </w:tc>
      </w:tr>
    </w:tbl>
    <w:p>
      <w:pPr>
        <w:spacing w:after="120" w:before="40" w:line="240" w:lineRule="auto"/>
        <w:jc w:val="center"/>
      </w:pPr>
      <w:r>
        <w:rPr>
          <w:rFonts w:ascii="Times New Roman" w:cs="Times New Roman" w:eastAsia="Times New Roman" w:hAnsi="Times New Roman"/>
          <w:i/>
          <w:iCs/>
          <w:sz w:val="20"/>
          <w:szCs w:val="20"/>
        </w:rPr>
        <w:t xml:space="preserve">Tabel 11. Kebutuhan modal awal (skala pilot 75 kontainer)</w:t>
      </w:r>
    </w:p>
    <w:p>
      <w:pPr>
        <w:spacing w:after="0" w:line="360" w:lineRule="auto"/>
        <w:ind w:firstLine="709"/>
        <w:jc w:val="both"/>
      </w:pPr>
      <w:r>
        <w:rPr>
          <w:rFonts w:ascii="Times New Roman" w:cs="Times New Roman" w:eastAsia="Times New Roman" w:hAnsi="Times New Roman"/>
          <w:sz w:val="24"/>
          <w:szCs w:val="24"/>
        </w:rPr>
        <w:t xml:space="preserve">Sensor bersifat </w:t>
      </w:r>
      <w:r>
        <w:rPr>
          <w:rFonts w:ascii="Times New Roman" w:cs="Times New Roman" w:eastAsia="Times New Roman" w:hAnsi="Times New Roman"/>
          <w:i/>
          <w:iCs/>
          <w:sz w:val="24"/>
          <w:szCs w:val="24"/>
        </w:rPr>
        <w:t xml:space="preserve">pass-through</w:t>
      </w:r>
      <w:r>
        <w:rPr>
          <w:rFonts w:ascii="Times New Roman" w:cs="Times New Roman" w:eastAsia="Times New Roman" w:hAnsi="Times New Roman"/>
          <w:sz w:val="24"/>
          <w:szCs w:val="24"/>
        </w:rPr>
        <w:t xml:space="preserve">: dibeli pada modal awal, disalurkan ke pelanggan, dan pendapatannya diakui saat penjualan. Konektivitas/</w:t>
      </w:r>
      <w:r>
        <w:rPr>
          <w:rFonts w:ascii="Times New Roman" w:cs="Times New Roman" w:eastAsia="Times New Roman" w:hAnsi="Times New Roman"/>
          <w:i/>
          <w:iCs/>
          <w:sz w:val="24"/>
          <w:szCs w:val="24"/>
        </w:rPr>
        <w:t xml:space="preserve">cloud</w:t>
      </w:r>
      <w:r>
        <w:rPr>
          <w:rFonts w:ascii="Times New Roman" w:cs="Times New Roman" w:eastAsia="Times New Roman" w:hAnsi="Times New Roman"/>
          <w:sz w:val="24"/>
          <w:szCs w:val="24"/>
        </w:rPr>
        <w:t xml:space="preserve"> 12 bulan pada modal awal dipakai untuk </w:t>
      </w:r>
      <w:r>
        <w:rPr>
          <w:rFonts w:ascii="Times New Roman" w:cs="Times New Roman" w:eastAsia="Times New Roman" w:hAnsi="Times New Roman"/>
          <w:i/>
          <w:iCs/>
          <w:sz w:val="24"/>
          <w:szCs w:val="24"/>
        </w:rPr>
        <w:t xml:space="preserve">pilot</w:t>
      </w:r>
      <w:r>
        <w:rPr>
          <w:rFonts w:ascii="Times New Roman" w:cs="Times New Roman" w:eastAsia="Times New Roman" w:hAnsi="Times New Roman"/>
          <w:sz w:val="24"/>
          <w:szCs w:val="24"/>
        </w:rPr>
        <w:t xml:space="preserve"> 75 kontainer; tahun berikutnya konektivitas dibebankan ke COGS per kontainer berlangganan dan tidak dihitung ganda di Bab 5.3.</w:t>
      </w:r>
    </w:p>
    <w:p>
      <w:pPr>
        <w:spacing w:after="40" w:before="100" w:line="360" w:lineRule="auto"/>
        <w:jc w:val="left"/>
      </w:pPr>
      <w:r>
        <w:rPr>
          <w:rFonts w:ascii="Times New Roman" w:cs="Times New Roman" w:eastAsia="Times New Roman" w:hAnsi="Times New Roman"/>
          <w:b/>
          <w:bCs/>
          <w:sz w:val="24"/>
          <w:szCs w:val="24"/>
        </w:rPr>
        <w:t xml:space="preserve">5.2. Struktur Biaya</w:t>
      </w:r>
    </w:p>
    <w:p>
      <w:pPr>
        <w:spacing w:after="0" w:line="360" w:lineRule="auto"/>
        <w:ind w:firstLine="709"/>
        <w:jc w:val="both"/>
      </w:pPr>
      <w:r>
        <w:rPr>
          <w:rFonts w:ascii="Times New Roman" w:cs="Times New Roman" w:eastAsia="Times New Roman" w:hAnsi="Times New Roman"/>
          <w:b/>
          <w:bCs/>
          <w:sz w:val="24"/>
          <w:szCs w:val="24"/>
        </w:rPr>
        <w:t xml:space="preserve">Harga jual</w:t>
      </w:r>
      <w:r>
        <w:rPr>
          <w:rFonts w:ascii="Times New Roman" w:cs="Times New Roman" w:eastAsia="Times New Roman" w:hAnsi="Times New Roman"/>
          <w:sz w:val="24"/>
          <w:szCs w:val="24"/>
        </w:rPr>
        <w:t xml:space="preserve"> (asumsi model bisnis tim):</w:t>
      </w:r>
    </w:p>
    <w:tbl>
      <w:tblPr>
        <w:tblW w:type="dxa" w:w="8163"/>
        <w:tblBorders>
          <w:top w:val="single" w:color="auto" w:sz="4"/>
          <w:left w:val="single" w:color="auto" w:sz="4"/>
          <w:bottom w:val="single" w:color="auto" w:sz="4"/>
          <w:right w:val="single" w:color="auto" w:sz="4"/>
          <w:insideH w:val="single" w:color="auto" w:sz="4"/>
          <w:insideV w:val="single" w:color="auto" w:sz="4"/>
        </w:tblBorders>
      </w:tblPr>
      <w:tblGrid>
        <w:gridCol w:w="2608"/>
        <w:gridCol w:w="2494"/>
        <w:gridCol w:w="3061"/>
      </w:tblGrid>
      <w:tr>
        <w:tc>
          <w:tcPr>
            <w:tcW w:type="dxa" w:w="260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Item</w:t>
            </w:r>
          </w:p>
        </w:tc>
        <w:tc>
          <w:tcPr>
            <w:tcW w:type="dxa" w:w="249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Tarif</w:t>
            </w:r>
          </w:p>
        </w:tc>
        <w:tc>
          <w:tcPr>
            <w:tcW w:type="dxa" w:w="30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Keterangan</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Unit sensor IoT fill-level (DF703)</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Rp2.500.000</w:t>
            </w:r>
          </w:p>
        </w:tc>
        <w:tc>
          <w:tcPr>
            <w:tcW w:type="dxa" w:w="30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Pass-through; harga pasar (Microthings, 2026)</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Langganan B2B per kontainer</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Rp200.000/bulan</w:t>
            </w:r>
          </w:p>
        </w:tc>
        <w:tc>
          <w:tcPr>
            <w:tcW w:type="dxa" w:w="30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Termasuk konektivitas, routing AI, dashboard</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Lisensi SaaS tahunan B2G</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Rp400 juta (Y2) → Rp1 miliar (Y5)</w:t>
            </w:r>
          </w:p>
        </w:tc>
        <w:tc>
          <w:tcPr>
            <w:tcW w:type="dxa" w:w="30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Mulai tahun kedua (siklus pengadaan)</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Modul pelaporan ESG / analitik premium</w:t>
            </w:r>
          </w:p>
        </w:tc>
        <w:tc>
          <w:tcPr>
            <w:tcW w:type="dxa" w:w="249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Rp50.000–100.000/bulan</w:t>
            </w:r>
          </w:p>
        </w:tc>
        <w:tc>
          <w:tcPr>
            <w:tcW w:type="dxa" w:w="306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Tambahan opsional</w:t>
            </w:r>
          </w:p>
        </w:tc>
      </w:tr>
    </w:tbl>
    <w:p>
      <w:pPr>
        <w:spacing w:after="120" w:before="40" w:line="240" w:lineRule="auto"/>
        <w:jc w:val="center"/>
      </w:pPr>
      <w:r>
        <w:rPr>
          <w:rFonts w:ascii="Times New Roman" w:cs="Times New Roman" w:eastAsia="Times New Roman" w:hAnsi="Times New Roman"/>
          <w:i/>
          <w:iCs/>
          <w:sz w:val="20"/>
          <w:szCs w:val="20"/>
        </w:rPr>
        <w:t xml:space="preserve">Tabel 12. Daftar harga Alurin (asumsi)</w:t>
      </w:r>
    </w:p>
    <w:p>
      <w:pPr>
        <w:spacing w:after="0" w:line="360" w:lineRule="auto"/>
        <w:ind w:firstLine="709"/>
        <w:jc w:val="both"/>
      </w:pPr>
      <w:r>
        <w:rPr>
          <w:rFonts w:ascii="Times New Roman" w:cs="Times New Roman" w:eastAsia="Times New Roman" w:hAnsi="Times New Roman"/>
          <w:b/>
          <w:bCs/>
          <w:sz w:val="24"/>
          <w:szCs w:val="24"/>
        </w:rPr>
        <w:t xml:space="preserve">Biaya tetap (bulanan):</w:t>
      </w:r>
      <w:r>
        <w:rPr>
          <w:rFonts w:ascii="Times New Roman" w:cs="Times New Roman" w:eastAsia="Times New Roman" w:hAnsi="Times New Roman"/>
          <w:sz w:val="24"/>
          <w:szCs w:val="24"/>
        </w:rPr>
        <w:t xml:space="preserve"> gaji SDM (Bab 4.2), langganan </w:t>
      </w:r>
      <w:r>
        <w:rPr>
          <w:rFonts w:ascii="Times New Roman" w:cs="Times New Roman" w:eastAsia="Times New Roman" w:hAnsi="Times New Roman"/>
          <w:i/>
          <w:iCs/>
          <w:sz w:val="24"/>
          <w:szCs w:val="24"/>
        </w:rPr>
        <w:t xml:space="preserve">cloud</w:t>
      </w:r>
      <w:r>
        <w:rPr>
          <w:rFonts w:ascii="Times New Roman" w:cs="Times New Roman" w:eastAsia="Times New Roman" w:hAnsi="Times New Roman"/>
          <w:sz w:val="24"/>
          <w:szCs w:val="24"/>
        </w:rPr>
        <w:t xml:space="preserve">/infrastruktur, ruang kerja/</w:t>
      </w:r>
      <w:r>
        <w:rPr>
          <w:rFonts w:ascii="Times New Roman" w:cs="Times New Roman" w:eastAsia="Times New Roman" w:hAnsi="Times New Roman"/>
          <w:i/>
          <w:iCs/>
          <w:sz w:val="24"/>
          <w:szCs w:val="24"/>
        </w:rPr>
        <w:t xml:space="preserve">co-working</w:t>
      </w:r>
      <w:r>
        <w:rPr>
          <w:rFonts w:ascii="Times New Roman" w:cs="Times New Roman" w:eastAsia="Times New Roman" w:hAnsi="Times New Roman"/>
          <w:sz w:val="24"/>
          <w:szCs w:val="24"/>
        </w:rPr>
        <w:t xml:space="preserve">, administrasi &amp; asuransi.</w:t>
      </w:r>
    </w:p>
    <w:p>
      <w:pPr>
        <w:spacing w:after="0" w:line="360" w:lineRule="auto"/>
        <w:ind w:firstLine="709"/>
        <w:jc w:val="both"/>
      </w:pPr>
      <w:r>
        <w:rPr>
          <w:rFonts w:ascii="Times New Roman" w:cs="Times New Roman" w:eastAsia="Times New Roman" w:hAnsi="Times New Roman"/>
          <w:b/>
          <w:bCs/>
          <w:sz w:val="24"/>
          <w:szCs w:val="24"/>
        </w:rPr>
        <w:t xml:space="preserve">Biaya variabel:</w:t>
      </w:r>
      <w:r>
        <w:rPr>
          <w:rFonts w:ascii="Times New Roman" w:cs="Times New Roman" w:eastAsia="Times New Roman" w:hAnsi="Times New Roman"/>
          <w:sz w:val="24"/>
          <w:szCs w:val="24"/>
        </w:rPr>
        <w:t xml:space="preserve"> konektivitas per sensor (Rp25.000–40.000/bulan) (iotm2m.id, 2026) yang dibebankan ke COGS pada kontainer berlangganan, biaya instalasi/pemeliharaan lapangan per titik baru, penggantian baterai sensor, komisi penjualan B2B.</w:t>
      </w:r>
    </w:p>
    <w:p>
      <w:pPr>
        <w:spacing w:after="0" w:line="360" w:lineRule="auto"/>
        <w:ind w:firstLine="709"/>
        <w:jc w:val="both"/>
      </w:pPr>
      <w:r>
        <w:rPr>
          <w:rFonts w:ascii="Times New Roman" w:cs="Times New Roman" w:eastAsia="Times New Roman" w:hAnsi="Times New Roman"/>
          <w:b/>
          <w:bCs/>
          <w:sz w:val="24"/>
          <w:szCs w:val="24"/>
        </w:rPr>
        <w:t xml:space="preserve">Target gross margin:</w:t>
      </w:r>
      <w:r>
        <w:rPr>
          <w:rFonts w:ascii="Times New Roman" w:cs="Times New Roman" w:eastAsia="Times New Roman" w:hAnsi="Times New Roman"/>
          <w:sz w:val="24"/>
          <w:szCs w:val="24"/>
        </w:rPr>
        <w:t xml:space="preserve"> Alurin menargetkan </w:t>
      </w:r>
      <w:r>
        <w:rPr>
          <w:rFonts w:ascii="Times New Roman" w:cs="Times New Roman" w:eastAsia="Times New Roman" w:hAnsi="Times New Roman"/>
          <w:i/>
          <w:iCs/>
          <w:sz w:val="24"/>
          <w:szCs w:val="24"/>
        </w:rPr>
        <w:t xml:space="preserve">gross profit margin</w:t>
      </w:r>
      <w:r>
        <w:rPr>
          <w:rFonts w:ascii="Times New Roman" w:cs="Times New Roman" w:eastAsia="Times New Roman" w:hAnsi="Times New Roman"/>
          <w:sz w:val="24"/>
          <w:szCs w:val="24"/>
        </w:rPr>
        <w:t xml:space="preserve"> di atas 55% pada tahun ketiga, naik seiring porsi pendapatan langganan berulang membesar; pada tahun pertama–kedua margin gabungan lebih rendah karena porsi penjualan perangkat (bermargin tipis) masih besar (lihat Bab 5.3). Benchmark B2B SaaS menunjukkan median </w:t>
      </w:r>
      <w:r>
        <w:rPr>
          <w:rFonts w:ascii="Times New Roman" w:cs="Times New Roman" w:eastAsia="Times New Roman" w:hAnsi="Times New Roman"/>
          <w:i/>
          <w:iCs/>
          <w:sz w:val="24"/>
          <w:szCs w:val="24"/>
        </w:rPr>
        <w:t xml:space="preserve">gross margin</w:t>
      </w:r>
      <w:r>
        <w:rPr>
          <w:rFonts w:ascii="Times New Roman" w:cs="Times New Roman" w:eastAsia="Times New Roman" w:hAnsi="Times New Roman"/>
          <w:sz w:val="24"/>
          <w:szCs w:val="24"/>
        </w:rPr>
        <w:t xml:space="preserve"> 74% untuk perusahaan privat (SaaS Capital, 2019); Alurin menargetkan mendekatinya pada skala penuh.</w:t>
      </w:r>
    </w:p>
    <w:p>
      <w:pPr>
        <w:spacing w:after="40" w:before="100" w:line="360" w:lineRule="auto"/>
        <w:jc w:val="left"/>
      </w:pPr>
      <w:r>
        <w:rPr>
          <w:rFonts w:ascii="Times New Roman" w:cs="Times New Roman" w:eastAsia="Times New Roman" w:hAnsi="Times New Roman"/>
          <w:b/>
          <w:bCs/>
          <w:sz w:val="24"/>
          <w:szCs w:val="24"/>
        </w:rPr>
        <w:t xml:space="preserve">5.3. Proyeksi Laba Rugi</w:t>
      </w:r>
    </w:p>
    <w:tbl>
      <w:tblPr>
        <w:tblW w:type="dxa" w:w="7143"/>
        <w:tblBorders>
          <w:top w:val="single" w:color="auto" w:sz="4"/>
          <w:left w:val="single" w:color="auto" w:sz="4"/>
          <w:bottom w:val="single" w:color="auto" w:sz="4"/>
          <w:right w:val="single" w:color="auto" w:sz="4"/>
          <w:insideH w:val="single" w:color="auto" w:sz="4"/>
          <w:insideV w:val="single" w:color="auto" w:sz="4"/>
        </w:tblBorders>
      </w:tblPr>
      <w:tblGrid>
        <w:gridCol w:w="2608"/>
        <w:gridCol w:w="907"/>
        <w:gridCol w:w="907"/>
        <w:gridCol w:w="907"/>
        <w:gridCol w:w="907"/>
        <w:gridCol w:w="907"/>
      </w:tblGrid>
      <w:tr>
        <w:tc>
          <w:tcPr>
            <w:tcW w:type="dxa" w:w="260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(dalam Rp juta)</w:t>
            </w:r>
          </w:p>
        </w:tc>
        <w:tc>
          <w:tcPr>
            <w:tcW w:type="dxa" w:w="9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T1</w:t>
            </w:r>
          </w:p>
        </w:tc>
        <w:tc>
          <w:tcPr>
            <w:tcW w:type="dxa" w:w="9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T2</w:t>
            </w:r>
          </w:p>
        </w:tc>
        <w:tc>
          <w:tcPr>
            <w:tcW w:type="dxa" w:w="9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T3</w:t>
            </w:r>
          </w:p>
        </w:tc>
        <w:tc>
          <w:tcPr>
            <w:tcW w:type="dxa" w:w="9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T4</w:t>
            </w:r>
          </w:p>
        </w:tc>
        <w:tc>
          <w:tcPr>
            <w:tcW w:type="dxa" w:w="9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T5</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Pendapatan lisensi SaaS B2G</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400,0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600,0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800,0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1.000,0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Pendapatan langganan B2B</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48,0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432,0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960,0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2.160,0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3.600,0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Pendapatan penjualan unit sensor (pass-through)</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62,5</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300,0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750,0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1.500,0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2.500,0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Total Pendapatan</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110,5</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1.132,0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2.310,0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4.460,0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7.100,0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HPP (konektivitas terpasang + sensor terjual)</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94,0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375,6</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918,0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1.878,0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3.130,0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Laba Kotor</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16,5</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756,4</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1.392,0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2.582,0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3.970,0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Margin kotor</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14,9%</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66,8%</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60,3%</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57,9%</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55,9%</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Beban Operasional (SDM, cloud, pemasaran, administrasi)</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570,0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804,0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954,0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1.110,0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1.266,0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EBITDA</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(553,5)</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(47,6)</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438,0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1.472,0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2.704,0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Penyusutan (sensor modal awal, 5 tahun)</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42,0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42,0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Laba Sebelum Pajak</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(595,5)</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(89,6)</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396,0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1.430,0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2.662,0</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PPh badan 22%</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0</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87,1</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314,6</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585,6</w:t>
            </w:r>
          </w:p>
        </w:tc>
      </w:tr>
      <w:tr>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Laba Bersih</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(595,5)</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(89,6)</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308,9</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1.115,4</w:t>
            </w:r>
          </w:p>
        </w:tc>
        <w:tc>
          <w:tcPr>
            <w:tcW w:type="dxa" w:w="90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2.076,4</w:t>
            </w:r>
          </w:p>
        </w:tc>
      </w:tr>
    </w:tbl>
    <w:p>
      <w:pPr>
        <w:spacing w:after="120" w:before="40" w:line="240" w:lineRule="auto"/>
        <w:jc w:val="center"/>
      </w:pPr>
      <w:r>
        <w:rPr>
          <w:rFonts w:ascii="Times New Roman" w:cs="Times New Roman" w:eastAsia="Times New Roman" w:hAnsi="Times New Roman"/>
          <w:i/>
          <w:iCs/>
          <w:sz w:val="20"/>
          <w:szCs w:val="20"/>
        </w:rPr>
        <w:t xml:space="preserve">Tabel 13. Proyeksi laba rugi 5 tahun (asumsi target skala, lihat Bab 1.2 &amp; 3.2)</w:t>
      </w:r>
    </w:p>
    <w:p>
      <w:pPr>
        <w:spacing w:after="0" w:line="360" w:lineRule="auto"/>
        <w:ind w:firstLine="709"/>
        <w:jc w:val="both"/>
      </w:pPr>
      <w:r>
        <w:rPr>
          <w:rFonts w:ascii="Times New Roman" w:cs="Times New Roman" w:eastAsia="Times New Roman" w:hAnsi="Times New Roman"/>
          <w:sz w:val="24"/>
          <w:szCs w:val="24"/>
        </w:rPr>
        <w:t xml:space="preserve">Margin kotor naik dari 15% (tahun 1, didominasi penjualan perangkat </w:t>
      </w:r>
      <w:r>
        <w:rPr>
          <w:rFonts w:ascii="Times New Roman" w:cs="Times New Roman" w:eastAsia="Times New Roman" w:hAnsi="Times New Roman"/>
          <w:i/>
          <w:iCs/>
          <w:sz w:val="24"/>
          <w:szCs w:val="24"/>
        </w:rPr>
        <w:t xml:space="preserve">pass-through</w:t>
      </w:r>
      <w:r>
        <w:rPr>
          <w:rFonts w:ascii="Times New Roman" w:cs="Times New Roman" w:eastAsia="Times New Roman" w:hAnsi="Times New Roman"/>
          <w:sz w:val="24"/>
          <w:szCs w:val="24"/>
        </w:rPr>
        <w:t xml:space="preserve">) menuju ±50% pada skala penuh; kerugian tahun pertama–kedua merupakan pola umum </w:t>
      </w:r>
      <w:r>
        <w:rPr>
          <w:rFonts w:ascii="Times New Roman" w:cs="Times New Roman" w:eastAsia="Times New Roman" w:hAnsi="Times New Roman"/>
          <w:i/>
          <w:iCs/>
          <w:sz w:val="24"/>
          <w:szCs w:val="24"/>
        </w:rPr>
        <w:t xml:space="preserve">startup</w:t>
      </w:r>
      <w:r>
        <w:rPr>
          <w:rFonts w:ascii="Times New Roman" w:cs="Times New Roman" w:eastAsia="Times New Roman" w:hAnsi="Times New Roman"/>
          <w:sz w:val="24"/>
          <w:szCs w:val="24"/>
        </w:rPr>
        <w:t xml:space="preserve"> tahap </w:t>
      </w:r>
      <w:r>
        <w:rPr>
          <w:rFonts w:ascii="Times New Roman" w:cs="Times New Roman" w:eastAsia="Times New Roman" w:hAnsi="Times New Roman"/>
          <w:i/>
          <w:iCs/>
          <w:sz w:val="24"/>
          <w:szCs w:val="24"/>
        </w:rPr>
        <w:t xml:space="preserve">pilot</w:t>
      </w:r>
      <w:r>
        <w:rPr>
          <w:rFonts w:ascii="Times New Roman" w:cs="Times New Roman" w:eastAsia="Times New Roman" w:hAnsi="Times New Roman"/>
          <w:sz w:val="24"/>
          <w:szCs w:val="24"/>
        </w:rPr>
        <w:t xml:space="preserve">, dengan laba bersih positif mulai tahun ketiga.</w:t>
      </w:r>
    </w:p>
    <w:p>
      <w:pPr>
        <w:spacing w:after="0" w:line="360" w:lineRule="auto"/>
        <w:ind w:firstLine="709"/>
        <w:jc w:val="both"/>
      </w:pPr>
      <w:r>
        <w:rPr>
          <w:rFonts w:ascii="Times New Roman" w:cs="Times New Roman" w:eastAsia="Times New Roman" w:hAnsi="Times New Roman"/>
          <w:b/>
          <w:bCs/>
          <w:sz w:val="24"/>
          <w:szCs w:val="24"/>
        </w:rPr>
        <w:t xml:space="preserve">Catatan penting — EBITDA bukan arus kas bebas.</w:t>
      </w:r>
      <w:r>
        <w:rPr>
          <w:rFonts w:ascii="Times New Roman" w:cs="Times New Roman" w:eastAsia="Times New Roman" w:hAnsi="Times New Roman"/>
          <w:sz w:val="24"/>
          <w:szCs w:val="24"/>
        </w:rPr>
        <w:t xml:space="preserve"> Angka di atas belum mencakup </w:t>
      </w:r>
      <w:r>
        <w:rPr>
          <w:rFonts w:ascii="Times New Roman" w:cs="Times New Roman" w:eastAsia="Times New Roman" w:hAnsi="Times New Roman"/>
          <w:i/>
          <w:iCs/>
          <w:sz w:val="24"/>
          <w:szCs w:val="24"/>
        </w:rPr>
        <w:t xml:space="preserve">working capital</w:t>
      </w:r>
      <w:r>
        <w:rPr>
          <w:rFonts w:ascii="Times New Roman" w:cs="Times New Roman" w:eastAsia="Times New Roman" w:hAnsi="Times New Roman"/>
          <w:sz w:val="24"/>
          <w:szCs w:val="24"/>
        </w:rPr>
        <w:t xml:space="preserve"> (piutang B2G yang umumnya 30–60 hari) dan kebutuhan pembelian sensor untuk mencapai skala 400/1.000 unit pada Y2/Y3. Dalam model </w:t>
      </w:r>
      <w:r>
        <w:rPr>
          <w:rFonts w:ascii="Times New Roman" w:cs="Times New Roman" w:eastAsia="Times New Roman" w:hAnsi="Times New Roman"/>
          <w:i/>
          <w:iCs/>
          <w:sz w:val="24"/>
          <w:szCs w:val="24"/>
        </w:rPr>
        <w:t xml:space="preserve">pass-through</w:t>
      </w:r>
      <w:r>
        <w:rPr>
          <w:rFonts w:ascii="Times New Roman" w:cs="Times New Roman" w:eastAsia="Times New Roman" w:hAnsi="Times New Roman"/>
          <w:sz w:val="24"/>
          <w:szCs w:val="24"/>
        </w:rPr>
        <w:t xml:space="preserve">, pembelian sensor untuk unit terjual dibebankan ke HPP pada tahun yang sama, sehingga tidak menciptakan kebutuhan modal kerja tambahan yang besar untuk persediaan; namun, penundaan pembayaran B2G tetap memengaruhi arus kas aktual. Proyeksi arus kas dan kebutuhan modal kerja dirinci pada Bab 5.4.</w:t>
      </w:r>
    </w:p>
    <w:p>
      <w:pPr>
        <w:spacing w:after="40" w:before="100" w:line="360" w:lineRule="auto"/>
        <w:jc w:val="left"/>
      </w:pPr>
      <w:r>
        <w:rPr>
          <w:rFonts w:ascii="Times New Roman" w:cs="Times New Roman" w:eastAsia="Times New Roman" w:hAnsi="Times New Roman"/>
          <w:b/>
          <w:bCs/>
          <w:sz w:val="24"/>
          <w:szCs w:val="24"/>
        </w:rPr>
        <w:t xml:space="preserve">5.4. Analisis Kelayakan Usaha</w:t>
      </w:r>
    </w:p>
    <w:p>
      <w:pPr>
        <w:spacing w:after="0" w:line="360" w:lineRule="auto"/>
        <w:ind w:firstLine="709"/>
        <w:jc w:val="both"/>
      </w:pPr>
      <w:r>
        <w:rPr>
          <w:rFonts w:ascii="Times New Roman" w:cs="Times New Roman" w:eastAsia="Times New Roman" w:hAnsi="Times New Roman"/>
          <w:b/>
          <w:bCs/>
          <w:sz w:val="24"/>
          <w:szCs w:val="24"/>
        </w:rPr>
        <w:t xml:space="preserve">Tingkat diskonto</w:t>
      </w:r>
      <w:r>
        <w:rPr>
          <w:rFonts w:ascii="Times New Roman" w:cs="Times New Roman" w:eastAsia="Times New Roman" w:hAnsi="Times New Roman"/>
          <w:sz w:val="24"/>
          <w:szCs w:val="24"/>
        </w:rPr>
        <w:t xml:space="preserve"> 12% ditriangulasi dari konvensi studi kelayakan bisnis Indonesia (9–14%) (Kasmir &amp; Jakfar, 2020), suku bunga kredit UMKM (±10,5%) (Otoritas Jasa Keuangan, 2026), dan estimasi </w:t>
      </w:r>
      <w:r>
        <w:rPr>
          <w:rFonts w:ascii="Times New Roman" w:cs="Times New Roman" w:eastAsia="Times New Roman" w:hAnsi="Times New Roman"/>
          <w:i/>
          <w:iCs/>
          <w:sz w:val="24"/>
          <w:szCs w:val="24"/>
        </w:rPr>
        <w:t xml:space="preserve">cost of equity</w:t>
      </w:r>
      <w:r>
        <w:rPr>
          <w:rFonts w:ascii="Times New Roman" w:cs="Times New Roman" w:eastAsia="Times New Roman" w:hAnsi="Times New Roman"/>
          <w:sz w:val="24"/>
          <w:szCs w:val="24"/>
        </w:rPr>
        <w:t xml:space="preserve"> (yield obligasi 10 tahun ±7,0–7,2% + premi risiko ekuitas Indonesia ±6,7%) (Trading Economics, 2026; Damodaran, 2026) — menghasilkan ±13,7%; 12% diambil sebagai titik moderat.</w:t>
      </w:r>
    </w:p>
    <w:tbl>
      <w:tblPr>
        <w:tblW w:type="dxa" w:w="7597"/>
        <w:tblBorders>
          <w:top w:val="single" w:color="auto" w:sz="4"/>
          <w:left w:val="single" w:color="auto" w:sz="4"/>
          <w:bottom w:val="single" w:color="auto" w:sz="4"/>
          <w:right w:val="single" w:color="auto" w:sz="4"/>
          <w:insideH w:val="single" w:color="auto" w:sz="4"/>
          <w:insideV w:val="single" w:color="auto" w:sz="4"/>
        </w:tblBorders>
      </w:tblPr>
      <w:tblGrid>
        <w:gridCol w:w="4989"/>
        <w:gridCol w:w="2608"/>
      </w:tblGrid>
      <w:tr>
        <w:tc>
          <w:tcPr>
            <w:tcW w:type="dxa" w:w="498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Indikator</w:t>
            </w:r>
          </w:p>
        </w:tc>
        <w:tc>
          <w:tcPr>
            <w:tcW w:type="dxa" w:w="260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bCs/>
                <w:sz w:val="20"/>
                <w:szCs w:val="20"/>
              </w:rPr>
              <w:t xml:space="preserve">Nilai</w:t>
            </w:r>
          </w:p>
        </w:tc>
      </w:tr>
      <w:tr>
        <w:tc>
          <w:tcPr>
            <w:tcW w:type="dxa" w:w="498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Modal awal (tahun 0)</w:t>
            </w:r>
          </w:p>
        </w:tc>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Rp528,5 juta</w:t>
            </w:r>
          </w:p>
        </w:tc>
      </w:tr>
      <w:tr>
        <w:tc>
          <w:tcPr>
            <w:tcW w:type="dxa" w:w="498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NPV (5 tahun, diskonto 12%)</w:t>
            </w:r>
          </w:p>
        </w:tc>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+Rp975,3 juta</w:t>
            </w:r>
          </w:p>
        </w:tc>
      </w:tr>
      <w:tr>
        <w:tc>
          <w:tcPr>
            <w:tcW w:type="dxa" w:w="498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Payback period</w:t>
            </w:r>
          </w:p>
        </w:tc>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 tahun 2 bulan</w:t>
            </w:r>
          </w:p>
        </w:tc>
      </w:tr>
      <w:tr>
        <w:tc>
          <w:tcPr>
            <w:tcW w:type="dxa" w:w="498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IRR</w:t>
            </w:r>
          </w:p>
        </w:tc>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±31,6%</w:t>
            </w:r>
          </w:p>
        </w:tc>
      </w:tr>
      <w:tr>
        <w:tc>
          <w:tcPr>
            <w:tcW w:type="dxa" w:w="498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NPV pada diskonto 30%</w:t>
            </w:r>
          </w:p>
        </w:tc>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+Rp50,8 juta</w:t>
            </w:r>
          </w:p>
        </w:tc>
      </w:tr>
      <w:tr>
        <w:tc>
          <w:tcPr>
            <w:tcW w:type="dxa" w:w="498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NPV pada diskonto 50%</w:t>
            </w:r>
          </w:p>
        </w:tc>
        <w:tc>
          <w:tcPr>
            <w:tcW w:type="dxa" w:w="260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–Rp380,0 juta</w:t>
            </w:r>
          </w:p>
        </w:tc>
      </w:tr>
    </w:tbl>
    <w:p>
      <w:pPr>
        <w:spacing w:after="120" w:before="40" w:line="240" w:lineRule="auto"/>
        <w:jc w:val="center"/>
      </w:pPr>
      <w:r>
        <w:rPr>
          <w:rFonts w:ascii="Times New Roman" w:cs="Times New Roman" w:eastAsia="Times New Roman" w:hAnsi="Times New Roman"/>
          <w:i/>
          <w:iCs/>
          <w:sz w:val="20"/>
          <w:szCs w:val="20"/>
        </w:rPr>
        <w:t xml:space="preserve">Tabel 14. Ringkasan kelayakan usaha dan sensitivitas diskonto (skenario dasar)</w:t>
      </w:r>
    </w:p>
    <w:p>
      <w:pPr>
        <w:spacing w:after="0" w:line="360" w:lineRule="auto"/>
        <w:ind w:firstLine="709"/>
        <w:jc w:val="both"/>
      </w:pPr>
      <w:r>
        <w:rPr>
          <w:rFonts w:ascii="Times New Roman" w:cs="Times New Roman" w:eastAsia="Times New Roman" w:hAnsi="Times New Roman"/>
          <w:sz w:val="24"/>
          <w:szCs w:val="24"/>
        </w:rPr>
        <w:t xml:space="preserve">NPV tetap positif hingga tingkat diskonto ±30%, jauh di atas </w:t>
      </w:r>
      <w:r>
        <w:rPr>
          <w:rFonts w:ascii="Times New Roman" w:cs="Times New Roman" w:eastAsia="Times New Roman" w:hAnsi="Times New Roman"/>
          <w:i/>
          <w:iCs/>
          <w:sz w:val="24"/>
          <w:szCs w:val="24"/>
        </w:rPr>
        <w:t xml:space="preserve">cost of equity</w:t>
      </w:r>
      <w:r>
        <w:rPr>
          <w:rFonts w:ascii="Times New Roman" w:cs="Times New Roman" w:eastAsia="Times New Roman" w:hAnsi="Times New Roman"/>
          <w:sz w:val="24"/>
          <w:szCs w:val="24"/>
        </w:rPr>
        <w:t xml:space="preserve"> ±13,7% dan suku bunga kredit ±10,5%, menunjukkan proyek tetap layak bahkan dengan </w:t>
      </w:r>
      <w:r>
        <w:rPr>
          <w:rFonts w:ascii="Times New Roman" w:cs="Times New Roman" w:eastAsia="Times New Roman" w:hAnsi="Times New Roman"/>
          <w:i/>
          <w:iCs/>
          <w:sz w:val="24"/>
          <w:szCs w:val="24"/>
        </w:rPr>
        <w:t xml:space="preserve">hurdle rate</w:t>
      </w:r>
      <w:r>
        <w:rPr>
          <w:rFonts w:ascii="Times New Roman" w:cs="Times New Roman" w:eastAsia="Times New Roman" w:hAnsi="Times New Roman"/>
          <w:sz w:val="24"/>
          <w:szCs w:val="24"/>
        </w:rPr>
        <w:t xml:space="preserve"> yang sangat konservatif; IRR ±31,6% memberi </w:t>
      </w:r>
      <w:r>
        <w:rPr>
          <w:rFonts w:ascii="Times New Roman" w:cs="Times New Roman" w:eastAsia="Times New Roman" w:hAnsi="Times New Roman"/>
          <w:i/>
          <w:iCs/>
          <w:sz w:val="24"/>
          <w:szCs w:val="24"/>
        </w:rPr>
        <w:t xml:space="preserve">buffer</w:t>
      </w:r>
      <w:r>
        <w:rPr>
          <w:rFonts w:ascii="Times New Roman" w:cs="Times New Roman" w:eastAsia="Times New Roman" w:hAnsi="Times New Roman"/>
          <w:sz w:val="24"/>
          <w:szCs w:val="24"/>
        </w:rPr>
        <w:t xml:space="preserve"> cukup besar terhadap fluktuasi biaya modal.</w:t>
      </w:r>
    </w:p>
    <w:p>
      <w:pPr>
        <w:spacing w:after="0" w:line="360" w:lineRule="auto"/>
        <w:ind w:firstLine="709"/>
        <w:jc w:val="both"/>
      </w:pPr>
      <w:r>
        <w:rPr>
          <w:rFonts w:ascii="Times New Roman" w:cs="Times New Roman" w:eastAsia="Times New Roman" w:hAnsi="Times New Roman"/>
          <w:b/>
          <w:bCs/>
          <w:sz w:val="24"/>
          <w:szCs w:val="24"/>
        </w:rPr>
        <w:t xml:space="preserve">Analisis sensitivitas skenario:</w:t>
      </w:r>
      <w:r>
        <w:rPr>
          <w:rFonts w:ascii="Times New Roman" w:cs="Times New Roman" w:eastAsia="Times New Roman" w:hAnsi="Times New Roman"/>
          <w:sz w:val="24"/>
          <w:szCs w:val="24"/>
        </w:rPr>
        <w:t xml:space="preserve"> pada skenario konservatif (pendapatan −20%, biaya +20%), NPV pada diskonto 12% menjadi </w:t>
      </w:r>
      <w:r>
        <w:rPr>
          <w:rFonts w:ascii="Times New Roman" w:cs="Times New Roman" w:eastAsia="Times New Roman" w:hAnsi="Times New Roman"/>
          <w:b/>
          <w:bCs/>
          <w:sz w:val="24"/>
          <w:szCs w:val="24"/>
        </w:rPr>
        <w:t xml:space="preserve">−1.829 juta</w:t>
      </w:r>
      <w:r>
        <w:rPr>
          <w:rFonts w:ascii="Times New Roman" w:cs="Times New Roman" w:eastAsia="Times New Roman" w:hAnsi="Times New Roman"/>
          <w:sz w:val="24"/>
          <w:szCs w:val="24"/>
        </w:rPr>
        <w:t xml:space="preserve"> dan IRR ±−49% — kelayakan bergantung pada pencapaian target akuisisi (Bab 1.2 dan 3.2). Mitigasi yang direkomendasikan: mengamankan </w:t>
      </w:r>
      <w:r>
        <w:rPr>
          <w:rFonts w:ascii="Times New Roman" w:cs="Times New Roman" w:eastAsia="Times New Roman" w:hAnsi="Times New Roman"/>
          <w:i/>
          <w:iCs/>
          <w:sz w:val="24"/>
          <w:szCs w:val="24"/>
        </w:rPr>
        <w:t xml:space="preserve">master service agreement</w:t>
      </w:r>
      <w:r>
        <w:rPr>
          <w:rFonts w:ascii="Times New Roman" w:cs="Times New Roman" w:eastAsia="Times New Roman" w:hAnsi="Times New Roman"/>
          <w:sz w:val="24"/>
          <w:szCs w:val="24"/>
        </w:rPr>
        <w:t xml:space="preserve"> B2G minimal satu tahun sebelum ekspansi skala, serta menjaga </w:t>
      </w:r>
      <w:r>
        <w:rPr>
          <w:rFonts w:ascii="Times New Roman" w:cs="Times New Roman" w:eastAsia="Times New Roman" w:hAnsi="Times New Roman"/>
          <w:i/>
          <w:iCs/>
          <w:sz w:val="24"/>
          <w:szCs w:val="24"/>
        </w:rPr>
        <w:t xml:space="preserve">gross revenue retention</w:t>
      </w:r>
      <w:r>
        <w:rPr>
          <w:rFonts w:ascii="Times New Roman" w:cs="Times New Roman" w:eastAsia="Times New Roman" w:hAnsi="Times New Roman"/>
          <w:sz w:val="24"/>
          <w:szCs w:val="24"/>
        </w:rPr>
        <w:t xml:space="preserve"> &gt;90%. Seluruh angka tetap proyeksi berbasis asumsi tim dan akan diuji melalui validasi lapangan pada fase pilot.</w:t>
      </w:r>
    </w:p>
    <w:p>
      <w:pPr>
        <w:spacing w:after="0" w:before="160" w:line="360" w:lineRule="auto"/>
        <w:jc w:val="center"/>
      </w:pPr>
      <w:r>
        <w:rPr>
          <w:rFonts w:ascii="Times New Roman" w:cs="Times New Roman" w:eastAsia="Times New Roman" w:hAnsi="Times New Roman"/>
          <w:b/>
          <w:bCs/>
          <w:sz w:val="28"/>
          <w:szCs w:val="28"/>
        </w:rPr>
        <w:t xml:space="preserve">Bab 6</w:t>
      </w:r>
    </w:p>
    <w:p>
      <w:pPr>
        <w:spacing w:after="100" w:before="0" w:line="360" w:lineRule="auto"/>
        <w:jc w:val="center"/>
      </w:pPr>
      <w:r>
        <w:rPr>
          <w:rFonts w:ascii="Times New Roman" w:cs="Times New Roman" w:eastAsia="Times New Roman" w:hAnsi="Times New Roman"/>
          <w:b/>
          <w:bCs/>
          <w:sz w:val="28"/>
          <w:szCs w:val="28"/>
        </w:rPr>
        <w:t xml:space="preserve">Penutup</w:t>
      </w:r>
    </w:p>
    <w:p>
      <w:pPr>
        <w:spacing w:after="40" w:before="100" w:line="360" w:lineRule="auto"/>
        <w:jc w:val="left"/>
      </w:pPr>
      <w:r>
        <w:rPr>
          <w:rFonts w:ascii="Times New Roman" w:cs="Times New Roman" w:eastAsia="Times New Roman" w:hAnsi="Times New Roman"/>
          <w:b/>
          <w:bCs/>
          <w:sz w:val="24"/>
          <w:szCs w:val="24"/>
        </w:rPr>
        <w:t xml:space="preserve">6.1. Kesimpulan</w:t>
      </w:r>
    </w:p>
    <w:p>
      <w:pPr>
        <w:spacing w:after="0" w:line="360" w:lineRule="auto"/>
        <w:ind w:firstLine="709"/>
        <w:jc w:val="both"/>
      </w:pPr>
      <w:r>
        <w:rPr>
          <w:rFonts w:ascii="Times New Roman" w:cs="Times New Roman" w:eastAsia="Times New Roman" w:hAnsi="Times New Roman"/>
          <w:sz w:val="24"/>
          <w:szCs w:val="24"/>
        </w:rPr>
        <w:t xml:space="preserve">Bantar Gebang yang </w:t>
      </w:r>
      <w:r>
        <w:rPr>
          <w:rFonts w:ascii="Times New Roman" w:cs="Times New Roman" w:eastAsia="Times New Roman" w:hAnsi="Times New Roman"/>
          <w:i/>
          <w:iCs/>
          <w:sz w:val="24"/>
          <w:szCs w:val="24"/>
        </w:rPr>
        <w:t xml:space="preserve">overload</w:t>
      </w:r>
      <w:r>
        <w:rPr>
          <w:rFonts w:ascii="Times New Roman" w:cs="Times New Roman" w:eastAsia="Times New Roman" w:hAnsi="Times New Roman"/>
          <w:sz w:val="24"/>
          <w:szCs w:val="24"/>
        </w:rPr>
        <w:t xml:space="preserve"> (rata-rata ±7.354 ton/hari pada 2025, puncak ±8.000 ton/hari) dan RDF Rorotan yang berkapasitas 2.200–2.400 ton/hari namun baru satu lini beroperasi karena kendala logistik (Kompas, 2026a, 2026c) menunjukkan bahwa mata rantai yang hilang adalah sistem yang mengarahkan sampah bermutu kalor ke pabrik secara konsisten. Alurin menjawabnya sebagai </w:t>
      </w:r>
      <w:r>
        <w:rPr>
          <w:rFonts w:ascii="Times New Roman" w:cs="Times New Roman" w:eastAsia="Times New Roman" w:hAnsi="Times New Roman"/>
          <w:i/>
          <w:iCs/>
          <w:sz w:val="24"/>
          <w:szCs w:val="24"/>
        </w:rPr>
        <w:t xml:space="preserve">execution and verification layer</w:t>
      </w:r>
      <w:r>
        <w:rPr>
          <w:rFonts w:ascii="Times New Roman" w:cs="Times New Roman" w:eastAsia="Times New Roman" w:hAnsi="Times New Roman"/>
          <w:sz w:val="24"/>
          <w:szCs w:val="24"/>
        </w:rPr>
        <w:t xml:space="preserve"> B2B/B2G SaaS </w:t>
      </w:r>
      <w:r>
        <w:rPr>
          <w:rFonts w:ascii="Times New Roman" w:cs="Times New Roman" w:eastAsia="Times New Roman" w:hAnsi="Times New Roman"/>
          <w:i/>
          <w:iCs/>
          <w:sz w:val="24"/>
          <w:szCs w:val="24"/>
        </w:rPr>
        <w:t xml:space="preserve">asset-light</w:t>
      </w:r>
      <w:r>
        <w:rPr>
          <w:rFonts w:ascii="Times New Roman" w:cs="Times New Roman" w:eastAsia="Times New Roman" w:hAnsi="Times New Roman"/>
          <w:sz w:val="24"/>
          <w:szCs w:val="24"/>
        </w:rPr>
        <w:t xml:space="preserve"> yang mengintegrasikan sensor IoT </w:t>
      </w:r>
      <w:r>
        <w:rPr>
          <w:rFonts w:ascii="Times New Roman" w:cs="Times New Roman" w:eastAsia="Times New Roman" w:hAnsi="Times New Roman"/>
          <w:i/>
          <w:iCs/>
          <w:sz w:val="24"/>
          <w:szCs w:val="24"/>
        </w:rPr>
        <w:t xml:space="preserve">fill-level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Dynamic Routing AI</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Predictive RDF Allocation System</w:t>
      </w:r>
      <w:r>
        <w:rPr>
          <w:rFonts w:ascii="Times New Roman" w:cs="Times New Roman" w:eastAsia="Times New Roman" w:hAnsi="Times New Roman"/>
          <w:sz w:val="24"/>
          <w:szCs w:val="24"/>
        </w:rPr>
        <w:t xml:space="preserve"> — dengan kejujuran teknis bahwa perangkat mengukur kepenuhan dan sistem mengestimasi kelayakan RDF sebagai </w:t>
      </w:r>
      <w:r>
        <w:rPr>
          <w:rFonts w:ascii="Times New Roman" w:cs="Times New Roman" w:eastAsia="Times New Roman" w:hAnsi="Times New Roman"/>
          <w:i/>
          <w:iCs/>
          <w:sz w:val="24"/>
          <w:szCs w:val="24"/>
        </w:rPr>
        <w:t xml:space="preserve">proxy classifier</w:t>
      </w:r>
      <w:r>
        <w:rPr>
          <w:rFonts w:ascii="Times New Roman" w:cs="Times New Roman" w:eastAsia="Times New Roman" w:hAnsi="Times New Roman"/>
          <w:sz w:val="24"/>
          <w:szCs w:val="24"/>
        </w:rPr>
        <w:t xml:space="preserve"> yang dikalibrasi pada fase pilot — selaras dengan Ingub 5/2026 dan Pergub 102/2021 (Pemerintah Provinsi DKI Jakarta, 2026a, 2021). Proyeksi keuangan menunjukkan kelayakan skenario dasar (modal awal ±Rp528,5 juta; NPV ±Rp975 juta pada diskonto 12%; IRR ±31,6%; NPV tetap positif hingga diskonto 30%), namun pada skenario konservatif (pendapatan −20%, biaya +20%) proyek belum layak, sehingga pencapaian target akuisisi pada Bab 1.2 dan 3.2 menjadi kunci keberhasilan. Prioritas tim selanjutnya adalah mengajukan percontohan bersama DLH DKI Jakarta dan mengakuisisi lima mitra B2B pertama pada tahun pertama, sebagai dasar pembuktian model sebelum ekspansi ke skala kota penuh.</w:t>
      </w:r>
    </w:p>
    <w:p>
      <w:pPr>
        <w:spacing w:after="240" w:line="360" w:lineRule="auto"/>
        <w:jc w:val="center"/>
      </w:pPr>
      <w:r>
        <w:rPr>
          <w:rFonts w:ascii="Times New Roman" w:cs="Times New Roman" w:eastAsia="Times New Roman" w:hAnsi="Times New Roman"/>
          <w:b/>
          <w:bCs/>
          <w:sz w:val="28"/>
          <w:szCs w:val="28"/>
        </w:rPr>
        <w:t xml:space="preserve">DAFTAR PUSTAKA</w:t>
      </w:r>
    </w:p>
    <w:p>
      <w:pPr>
        <w:spacing w:after="160" w:line="276" w:lineRule="auto"/>
        <w:ind w:left="709" w:hanging="709"/>
        <w:jc w:val="both"/>
      </w:pPr>
      <w:r>
        <w:rPr>
          <w:rFonts w:ascii="Times New Roman" w:cs="Times New Roman" w:eastAsia="Times New Roman" w:hAnsi="Times New Roman"/>
          <w:sz w:val="24"/>
          <w:szCs w:val="24"/>
        </w:rPr>
        <w:t xml:space="preserve">Amazon Web Services. (2026). Aws iot core pricing. https://aws.amazon.com/iot-core/pricing/</w:t>
      </w:r>
    </w:p>
    <w:p>
      <w:pPr>
        <w:spacing w:after="160" w:line="276" w:lineRule="auto"/>
        <w:ind w:left="709" w:hanging="709"/>
        <w:jc w:val="both"/>
      </w:pPr>
      <w:r>
        <w:rPr>
          <w:rFonts w:ascii="Times New Roman" w:cs="Times New Roman" w:eastAsia="Times New Roman" w:hAnsi="Times New Roman"/>
          <w:sz w:val="24"/>
          <w:szCs w:val="24"/>
        </w:rPr>
        <w:t xml:space="preserve">Anagnostopoulos, T., Zaslavsky, A., Kolomvatsos, K., Medvedev, A., Amirian, P., Morley, J., &amp; Hadjiefthymiades, S. (2017). Challenges and opportunities of waste management in IoT-enabled smart cities: A survey. </w:t>
      </w:r>
      <w:r>
        <w:rPr>
          <w:rFonts w:ascii="Times New Roman" w:cs="Times New Roman" w:eastAsia="Times New Roman" w:hAnsi="Times New Roman"/>
          <w:i/>
          <w:iCs/>
          <w:sz w:val="24"/>
          <w:szCs w:val="24"/>
        </w:rPr>
        <w:t xml:space="preserve">IEEE Transactions on Sustainable Computing</w:t>
      </w:r>
      <w:r>
        <w:rPr>
          <w:rFonts w:ascii="Times New Roman" w:cs="Times New Roman" w:eastAsia="Times New Roman" w:hAnsi="Times New Roman"/>
          <w:sz w:val="24"/>
          <w:szCs w:val="24"/>
        </w:rPr>
        <w:t xml:space="preserve">, 2(3), 275–289. https://doi.org/10.1109/TSUSC.2017.2691049</w:t>
      </w:r>
    </w:p>
    <w:p>
      <w:pPr>
        <w:spacing w:after="160" w:line="276" w:lineRule="auto"/>
        <w:ind w:left="709" w:hanging="709"/>
        <w:jc w:val="both"/>
      </w:pPr>
      <w:r>
        <w:rPr>
          <w:rFonts w:ascii="Times New Roman" w:cs="Times New Roman" w:eastAsia="Times New Roman" w:hAnsi="Times New Roman"/>
          <w:sz w:val="24"/>
          <w:szCs w:val="24"/>
        </w:rPr>
        <w:t xml:space="preserve">ANTARA News. (2026). Wika hadirkan solusi pengolahan sampah berkelanjutan rdf rorotan jakarta. https://www.antaranews.com/berita/5691157/wika-hadirkan-solusi-pengolahan-sampah-berkelanjutan-rdf-rorotan-jakarta</w:t>
      </w:r>
    </w:p>
    <w:p>
      <w:pPr>
        <w:spacing w:after="160" w:line="276" w:lineRule="auto"/>
        <w:ind w:left="709" w:hanging="709"/>
        <w:jc w:val="both"/>
      </w:pPr>
      <w:r>
        <w:rPr>
          <w:rFonts w:ascii="Times New Roman" w:cs="Times New Roman" w:eastAsia="Times New Roman" w:hAnsi="Times New Roman"/>
          <w:sz w:val="24"/>
          <w:szCs w:val="24"/>
        </w:rPr>
        <w:t xml:space="preserve">Badan Standardisasi Nasional. (2024). Sni 9313:2024 — bahan bakar serpihan sampah untuk industri semen. https://pesta.bsn.go.id/produk/detail/93132024-sni9313:2024</w:t>
      </w:r>
    </w:p>
    <w:p>
      <w:pPr>
        <w:spacing w:after="160" w:line="276" w:lineRule="auto"/>
        <w:ind w:left="709" w:hanging="709"/>
        <w:jc w:val="both"/>
      </w:pPr>
      <w:r>
        <w:rPr>
          <w:rFonts w:ascii="Times New Roman" w:cs="Times New Roman" w:eastAsia="Times New Roman" w:hAnsi="Times New Roman"/>
          <w:sz w:val="24"/>
          <w:szCs w:val="24"/>
        </w:rPr>
        <w:t xml:space="preserve">BBC News Indonesia. (2026). Dampak longsor bantargebang: Akumulasi gas metana hingga perbandingan dengan tragedi leuwigajah 2005. https://www.bbc.com/indonesia/articles/ce3g7gkj493o</w:t>
      </w:r>
    </w:p>
    <w:p>
      <w:pPr>
        <w:spacing w:after="160" w:line="276" w:lineRule="auto"/>
        <w:ind w:left="709" w:hanging="709"/>
        <w:jc w:val="both"/>
      </w:pPr>
      <w:r>
        <w:rPr>
          <w:rFonts w:ascii="Times New Roman" w:cs="Times New Roman" w:eastAsia="Times New Roman" w:hAnsi="Times New Roman"/>
          <w:sz w:val="24"/>
          <w:szCs w:val="24"/>
        </w:rPr>
        <w:t xml:space="preserve">Damodaran, A. (2026). Country default spreads and risk premiums. https://pages.stern.nyu.edu/~adamodar/New_Home_Page/datafile/ctryprem.html</w:t>
      </w:r>
    </w:p>
    <w:p>
      <w:pPr>
        <w:spacing w:after="160" w:line="276" w:lineRule="auto"/>
        <w:ind w:left="709" w:hanging="709"/>
        <w:jc w:val="both"/>
      </w:pPr>
      <w:r>
        <w:rPr>
          <w:rFonts w:ascii="Times New Roman" w:cs="Times New Roman" w:eastAsia="Times New Roman" w:hAnsi="Times New Roman"/>
          <w:sz w:val="24"/>
          <w:szCs w:val="24"/>
        </w:rPr>
        <w:t xml:space="preserve">Ecube Labs. (2026). Ecube labs - smart waste management solutions. https://www.ecubelabs.com/</w:t>
      </w:r>
    </w:p>
    <w:p>
      <w:pPr>
        <w:spacing w:after="160" w:line="276" w:lineRule="auto"/>
        <w:ind w:left="709" w:hanging="709"/>
        <w:jc w:val="both"/>
      </w:pPr>
      <w:r>
        <w:rPr>
          <w:rFonts w:ascii="Times New Roman" w:cs="Times New Roman" w:eastAsia="Times New Roman" w:hAnsi="Times New Roman"/>
          <w:sz w:val="24"/>
          <w:szCs w:val="24"/>
        </w:rPr>
        <w:t xml:space="preserve">GeekHunter. (2026). Gaji field service engineer indonesia 2026. https://geekhunter.co/artikel/gaji-field-service-engineer-indonesia/</w:t>
      </w:r>
    </w:p>
    <w:p>
      <w:pPr>
        <w:spacing w:after="160" w:line="276" w:lineRule="auto"/>
        <w:ind w:left="709" w:hanging="709"/>
        <w:jc w:val="both"/>
      </w:pPr>
      <w:r>
        <w:rPr>
          <w:rFonts w:ascii="Times New Roman" w:cs="Times New Roman" w:eastAsia="Times New Roman" w:hAnsi="Times New Roman"/>
          <w:sz w:val="24"/>
          <w:szCs w:val="24"/>
        </w:rPr>
        <w:t xml:space="preserve">iotm2m.id (Reseller M2M Telkomsel). (2026). Paket data sim m2m/iot telkomsel. https://www.iotm2m.id/</w:t>
      </w:r>
    </w:p>
    <w:p>
      <w:pPr>
        <w:spacing w:after="160" w:line="276" w:lineRule="auto"/>
        <w:ind w:left="709" w:hanging="709"/>
        <w:jc w:val="both"/>
      </w:pPr>
      <w:r>
        <w:rPr>
          <w:rFonts w:ascii="Times New Roman" w:cs="Times New Roman" w:eastAsia="Times New Roman" w:hAnsi="Times New Roman"/>
          <w:sz w:val="24"/>
          <w:szCs w:val="24"/>
        </w:rPr>
        <w:t xml:space="preserve">IPCC. (2021). Climate change 2021: The physical science basis. contribution of working group i to the sixth assessment report of the intergovernmental panel on climate change (chapter 7, table 7.15: Methane gwp-100). https://ghgprotocol.org/sites/default/files/2024-08/Global-Warming-Potential-Values%20(August%202024).pdf</w:t>
      </w:r>
    </w:p>
    <w:p>
      <w:pPr>
        <w:spacing w:after="160" w:line="276" w:lineRule="auto"/>
        <w:ind w:left="709" w:hanging="709"/>
        <w:jc w:val="both"/>
      </w:pPr>
      <w:r>
        <w:rPr>
          <w:rFonts w:ascii="Times New Roman" w:cs="Times New Roman" w:eastAsia="Times New Roman" w:hAnsi="Times New Roman"/>
          <w:sz w:val="24"/>
          <w:szCs w:val="24"/>
        </w:rPr>
        <w:t xml:space="preserve">Jobstreet (SEEK). (2025). Business development executive salary, jakarta. https://id.jobstreet.com/career-advice/role/business-development-executive/salary</w:t>
      </w:r>
    </w:p>
    <w:p>
      <w:pPr>
        <w:spacing w:after="160" w:line="276" w:lineRule="auto"/>
        <w:ind w:left="709" w:hanging="709"/>
        <w:jc w:val="both"/>
      </w:pPr>
      <w:r>
        <w:rPr>
          <w:rFonts w:ascii="Times New Roman" w:cs="Times New Roman" w:eastAsia="Times New Roman" w:hAnsi="Times New Roman"/>
          <w:sz w:val="24"/>
          <w:szCs w:val="24"/>
        </w:rPr>
        <w:t xml:space="preserve">Kasmir &amp; Jakfar. (2020). </w:t>
      </w:r>
      <w:r>
        <w:rPr>
          <w:rFonts w:ascii="Times New Roman" w:cs="Times New Roman" w:eastAsia="Times New Roman" w:hAnsi="Times New Roman"/>
          <w:i/>
          <w:iCs/>
          <w:sz w:val="24"/>
          <w:szCs w:val="24"/>
        </w:rPr>
        <w:t xml:space="preserve">Studi kelayakan bisnis</w:t>
      </w:r>
      <w:r>
        <w:rPr>
          <w:rFonts w:ascii="Times New Roman" w:cs="Times New Roman" w:eastAsia="Times New Roman" w:hAnsi="Times New Roman"/>
          <w:sz w:val="24"/>
          <w:szCs w:val="24"/>
        </w:rPr>
        <w:t xml:space="preserve"> (Revisi). Kencana Prenadamedia Group.</w:t>
      </w:r>
    </w:p>
    <w:p>
      <w:pPr>
        <w:spacing w:after="160" w:line="276" w:lineRule="auto"/>
        <w:ind w:left="709" w:hanging="709"/>
        <w:jc w:val="both"/>
      </w:pPr>
      <w:r>
        <w:rPr>
          <w:rFonts w:ascii="Times New Roman" w:cs="Times New Roman" w:eastAsia="Times New Roman" w:hAnsi="Times New Roman"/>
          <w:sz w:val="24"/>
          <w:szCs w:val="24"/>
        </w:rPr>
        <w:t xml:space="preserve">Kompas. (2026a). Bantargebang kritis, sampah jakarta tembus 7.300 ton per hari. https://lestari.kompas.com/read/2026/02/09/201300386/bantargebang-kritis-sampah-jakarta-tembus-7.300-ton-per-hari</w:t>
      </w:r>
    </w:p>
    <w:p>
      <w:pPr>
        <w:spacing w:after="160" w:line="276" w:lineRule="auto"/>
        <w:ind w:left="709" w:hanging="709"/>
        <w:jc w:val="both"/>
      </w:pPr>
      <w:r>
        <w:rPr>
          <w:rFonts w:ascii="Times New Roman" w:cs="Times New Roman" w:eastAsia="Times New Roman" w:hAnsi="Times New Roman"/>
          <w:sz w:val="24"/>
          <w:szCs w:val="24"/>
        </w:rPr>
        <w:t xml:space="preserve">Kompas. (2026b). Jakarta di titik kritis pengelolaan sampah. https://megapolitan.kompas.com/read/2026/07/03/11203211/</w:t>
      </w:r>
    </w:p>
    <w:p>
      <w:pPr>
        <w:spacing w:after="160" w:line="276" w:lineRule="auto"/>
        <w:ind w:left="709" w:hanging="709"/>
        <w:jc w:val="both"/>
      </w:pPr>
      <w:r>
        <w:rPr>
          <w:rFonts w:ascii="Times New Roman" w:cs="Times New Roman" w:eastAsia="Times New Roman" w:hAnsi="Times New Roman"/>
          <w:sz w:val="24"/>
          <w:szCs w:val="24"/>
        </w:rPr>
        <w:t xml:space="preserve">Kompas. (2026c). Pramono ungkap kendala rdf rorotan belum beroperasi penuh. https://megapolitan.kompas.com/read/2026/08/10/17125731/</w:t>
      </w:r>
    </w:p>
    <w:p>
      <w:pPr>
        <w:spacing w:after="160" w:line="276" w:lineRule="auto"/>
        <w:ind w:left="709" w:hanging="709"/>
        <w:jc w:val="both"/>
      </w:pPr>
      <w:r>
        <w:rPr>
          <w:rFonts w:ascii="Times New Roman" w:cs="Times New Roman" w:eastAsia="Times New Roman" w:hAnsi="Times New Roman"/>
          <w:sz w:val="24"/>
          <w:szCs w:val="24"/>
        </w:rPr>
        <w:t xml:space="preserve">Kompas. (2026d). Ump jakarta berlaku januari 2026, upah jadi rp 5,7 juta. https://megapolitan.kompas.com/read/2026/01/02/13194581/ump-jakarta-berlaku-januari-2026-upah-jadi-rp-57-juta</w:t>
      </w:r>
    </w:p>
    <w:p>
      <w:pPr>
        <w:spacing w:after="160" w:line="276" w:lineRule="auto"/>
        <w:ind w:left="709" w:hanging="709"/>
        <w:jc w:val="both"/>
      </w:pPr>
      <w:r>
        <w:rPr>
          <w:rFonts w:ascii="Times New Roman" w:cs="Times New Roman" w:eastAsia="Times New Roman" w:hAnsi="Times New Roman"/>
          <w:sz w:val="24"/>
          <w:szCs w:val="24"/>
        </w:rPr>
        <w:t xml:space="preserve">Koran Jakarta. (2025). Tpst bantargebang, ikon nasional yang terancam tumbang. https://koran-jakarta.com/2025-06-11/tpst-bantargebang-icon-nasional-terancam-tumbang</w:t>
      </w:r>
    </w:p>
    <w:p>
      <w:pPr>
        <w:spacing w:after="160" w:line="276" w:lineRule="auto"/>
        <w:ind w:left="709" w:hanging="709"/>
        <w:jc w:val="both"/>
      </w:pPr>
      <w:r>
        <w:rPr>
          <w:rFonts w:ascii="Times New Roman" w:cs="Times New Roman" w:eastAsia="Times New Roman" w:hAnsi="Times New Roman"/>
          <w:sz w:val="24"/>
          <w:szCs w:val="24"/>
        </w:rPr>
        <w:t xml:space="preserve">Lembaga Kebijakan Pengadaan Barang/Jasa Pemerintah. (2018). Peraturan lkpp no. 9/2018 tentang pedoman pelaksanaan pengadaan melalui penyedia. https://jdih.lkpp.go.id/regulation/download/peraturan-lkpp-nomor-9-tahun-2018/1</w:t>
      </w:r>
    </w:p>
    <w:p>
      <w:pPr>
        <w:spacing w:after="160" w:line="276" w:lineRule="auto"/>
        <w:ind w:left="709" w:hanging="709"/>
        <w:jc w:val="both"/>
      </w:pPr>
      <w:r>
        <w:rPr>
          <w:rFonts w:ascii="Times New Roman" w:cs="Times New Roman" w:eastAsia="Times New Roman" w:hAnsi="Times New Roman"/>
          <w:sz w:val="24"/>
          <w:szCs w:val="24"/>
        </w:rPr>
        <w:t xml:space="preserve">Lembaga Kebijakan Pengadaan Barang/Jasa Pemerintah. (2024). Surat edaran kepala lkpp no. 9/2024 tentang penerapan e-katalog v6. https://jdih.lkpp.go.id/regulation/surat-edaran-kepala-lkpp/surat-edaran-kepala-lkpp-nomor-9-tahun-2024</w:t>
      </w:r>
    </w:p>
    <w:p>
      <w:pPr>
        <w:spacing w:after="160" w:line="276" w:lineRule="auto"/>
        <w:ind w:left="709" w:hanging="709"/>
        <w:jc w:val="both"/>
      </w:pPr>
      <w:r>
        <w:rPr>
          <w:rFonts w:ascii="Times New Roman" w:cs="Times New Roman" w:eastAsia="Times New Roman" w:hAnsi="Times New Roman"/>
          <w:sz w:val="24"/>
          <w:szCs w:val="24"/>
        </w:rPr>
        <w:t xml:space="preserve">Microthings. (2026). Smart waste bin sensor df703. https://www.microthings.id/product/smart-waste-bin-sensor-df703/</w:t>
      </w:r>
    </w:p>
    <w:p>
      <w:pPr>
        <w:spacing w:after="160" w:line="276" w:lineRule="auto"/>
        <w:ind w:left="709" w:hanging="709"/>
        <w:jc w:val="both"/>
      </w:pPr>
      <w:r>
        <w:rPr>
          <w:rFonts w:ascii="Times New Roman" w:cs="Times New Roman" w:eastAsia="Times New Roman" w:hAnsi="Times New Roman"/>
          <w:sz w:val="24"/>
          <w:szCs w:val="24"/>
        </w:rPr>
        <w:t xml:space="preserve">Otoritas Jasa Keuangan. (2017). Peraturan otoritas jasa keuangan nomor 51/pojk.03/2017 tentang penerapan keuangan berkelanjutan bagi lembaga jasa keuangan, emiten, dan perusahaan publik. https://ojk.go.id/id/regulasi/Pages/Penerapan-Keuangan-Berkelanjutan-bagi-Lembaga-Jasa-Keuangan%2C-Emiten%2C-dan-Perusahaan-Publik.aspx</w:t>
      </w:r>
    </w:p>
    <w:p>
      <w:pPr>
        <w:spacing w:after="160" w:line="276" w:lineRule="auto"/>
        <w:ind w:left="709" w:hanging="709"/>
        <w:jc w:val="both"/>
      </w:pPr>
      <w:r>
        <w:rPr>
          <w:rFonts w:ascii="Times New Roman" w:cs="Times New Roman" w:eastAsia="Times New Roman" w:hAnsi="Times New Roman"/>
          <w:sz w:val="24"/>
          <w:szCs w:val="24"/>
        </w:rPr>
        <w:t xml:space="preserve">Otoritas Jasa Keuangan. (2026). Tren penurunan suku bunga kredit masih berlanjut. https://ojk.go.id/id/berita-dan-kegiatan/siaran-pers/Pages/Tren-Penurunan-Suku-Bunga-Kredit-Masih-Berlanjut.aspx</w:t>
      </w:r>
    </w:p>
    <w:p>
      <w:pPr>
        <w:spacing w:after="160" w:line="276" w:lineRule="auto"/>
        <w:ind w:left="709" w:hanging="709"/>
        <w:jc w:val="both"/>
      </w:pPr>
      <w:r>
        <w:rPr>
          <w:rFonts w:ascii="Times New Roman" w:cs="Times New Roman" w:eastAsia="Times New Roman" w:hAnsi="Times New Roman"/>
          <w:sz w:val="24"/>
          <w:szCs w:val="24"/>
        </w:rPr>
        <w:t xml:space="preserve">Pemerintah Provinsi DKI Jakarta. (2021). Peraturan gubernur daerah khusus ibukota jakarta nomor 102 tahun 2021 tentang kewajiban pengelolaan sampah di kawasan dan perusahaan. https://jdih.jakarta.go.id/dokumen/detail/1803/peraturan-gubernur-nomor-102-tahun-2021-tentang-kewajiban-pengelolaan-sampah-di-kawasan-dan-perusahaan</w:t>
      </w:r>
    </w:p>
    <w:p>
      <w:pPr>
        <w:spacing w:after="160" w:line="276" w:lineRule="auto"/>
        <w:ind w:left="709" w:hanging="709"/>
        <w:jc w:val="both"/>
      </w:pPr>
      <w:r>
        <w:rPr>
          <w:rFonts w:ascii="Times New Roman" w:cs="Times New Roman" w:eastAsia="Times New Roman" w:hAnsi="Times New Roman"/>
          <w:sz w:val="24"/>
          <w:szCs w:val="24"/>
        </w:rPr>
        <w:t xml:space="preserve">Pemerintah Provinsi DKI Jakarta. (2026a). Instruksi gubernur nomor 5 tahun 2026 tentang gerakan pemilahan dan pengolahan sampah dari sumber. https://jdih.jakarta.go.id/dokumen/detail/14954/instruksi-gubernur-nomor-5-tahun-2026-tentang-gerakan-pemilahan-dan-pengolahan-sampah-dari-sumber</w:t>
      </w:r>
    </w:p>
    <w:p>
      <w:pPr>
        <w:spacing w:after="160" w:line="276" w:lineRule="auto"/>
        <w:ind w:left="709" w:hanging="709"/>
        <w:jc w:val="both"/>
      </w:pPr>
      <w:r>
        <w:rPr>
          <w:rFonts w:ascii="Times New Roman" w:cs="Times New Roman" w:eastAsia="Times New Roman" w:hAnsi="Times New Roman"/>
          <w:sz w:val="24"/>
          <w:szCs w:val="24"/>
        </w:rPr>
        <w:t xml:space="preserve">Pemerintah Provinsi DKI Jakarta. (2026b). Silika — sistem informasi lingkungan dan kebersihan jakarta. https://silika.jakarta.go.id/</w:t>
      </w:r>
    </w:p>
    <w:p>
      <w:pPr>
        <w:spacing w:after="160" w:line="276" w:lineRule="auto"/>
        <w:ind w:left="709" w:hanging="709"/>
        <w:jc w:val="both"/>
      </w:pPr>
      <w:r>
        <w:rPr>
          <w:rFonts w:ascii="Times New Roman" w:cs="Times New Roman" w:eastAsia="Times New Roman" w:hAnsi="Times New Roman"/>
          <w:sz w:val="24"/>
          <w:szCs w:val="24"/>
        </w:rPr>
        <w:t xml:space="preserve">Prosiding SAINTEK. (2022). Analisis proksimat dan nilai kalor sampah tpst bantargebang sebagai bahan baku refuse derived fuel. </w:t>
      </w:r>
      <w:r>
        <w:rPr>
          <w:rFonts w:ascii="Times New Roman" w:cs="Times New Roman" w:eastAsia="Times New Roman" w:hAnsi="Times New Roman"/>
          <w:i/>
          <w:iCs/>
          <w:sz w:val="24"/>
          <w:szCs w:val="24"/>
        </w:rPr>
        <w:t xml:space="preserve">Prosiding Seminar Nasional Sains dan Teknologi, Universitas Pelita Bangsa</w:t>
      </w:r>
      <w:r>
        <w:rPr>
          <w:rFonts w:ascii="Times New Roman" w:cs="Times New Roman" w:eastAsia="Times New Roman" w:hAnsi="Times New Roman"/>
          <w:sz w:val="24"/>
          <w:szCs w:val="24"/>
        </w:rPr>
        <w:t xml:space="preserve">.</w:t>
      </w:r>
    </w:p>
    <w:p>
      <w:pPr>
        <w:spacing w:after="160" w:line="276" w:lineRule="auto"/>
        <w:ind w:left="709" w:hanging="709"/>
        <w:jc w:val="both"/>
      </w:pPr>
      <w:r>
        <w:rPr>
          <w:rFonts w:ascii="Times New Roman" w:cs="Times New Roman" w:eastAsia="Times New Roman" w:hAnsi="Times New Roman"/>
          <w:sz w:val="24"/>
          <w:szCs w:val="24"/>
        </w:rPr>
        <w:t xml:space="preserve">SaaS Capital. (2019). What’s your saas company worth? https://www.saas-capital.com/wp-content/uploads/2020/09/Whats-Your-SaaS-Company-Worth-Oct-2019.pdf</w:t>
      </w:r>
    </w:p>
    <w:p>
      <w:pPr>
        <w:spacing w:after="160" w:line="276" w:lineRule="auto"/>
        <w:ind w:left="709" w:hanging="709"/>
        <w:jc w:val="both"/>
      </w:pPr>
      <w:r>
        <w:rPr>
          <w:rFonts w:ascii="Times New Roman" w:cs="Times New Roman" w:eastAsia="Times New Roman" w:hAnsi="Times New Roman"/>
          <w:sz w:val="24"/>
          <w:szCs w:val="24"/>
        </w:rPr>
        <w:t xml:space="preserve">SaaS Capital. (2023). 2023 b2b saas retention benchmarks (research brief 28). https://www.saas-capital.com/wp-content/uploads/2023/05/RB28WS1-2023-B2B-SaaS-Retention-Benchmarks.pdf</w:t>
      </w:r>
    </w:p>
    <w:p>
      <w:pPr>
        <w:spacing w:after="160" w:line="276" w:lineRule="auto"/>
        <w:ind w:left="709" w:hanging="709"/>
        <w:jc w:val="both"/>
      </w:pPr>
      <w:r>
        <w:rPr>
          <w:rFonts w:ascii="Times New Roman" w:cs="Times New Roman" w:eastAsia="Times New Roman" w:hAnsi="Times New Roman"/>
          <w:sz w:val="24"/>
          <w:szCs w:val="24"/>
        </w:rPr>
        <w:t xml:space="preserve">Sensoneo. (2026). Sensoneo - smart waste management. https://www.sensoneo.com/</w:t>
      </w:r>
    </w:p>
    <w:p>
      <w:pPr>
        <w:spacing w:after="160" w:line="276" w:lineRule="auto"/>
        <w:ind w:left="709" w:hanging="709"/>
        <w:jc w:val="both"/>
      </w:pPr>
      <w:r>
        <w:rPr>
          <w:rFonts w:ascii="Times New Roman" w:cs="Times New Roman" w:eastAsia="Times New Roman" w:hAnsi="Times New Roman"/>
          <w:sz w:val="24"/>
          <w:szCs w:val="24"/>
        </w:rPr>
        <w:t xml:space="preserve">Tempo. (2025). Jakarta dan indocement sepakati harga jual-beli produk rdf. https://www.tempo.co/lingkungan/jakarta-dan-indocement-sepakati-harga-jual-beli-produk-rdf-2099484</w:t>
      </w:r>
    </w:p>
    <w:p>
      <w:pPr>
        <w:spacing w:after="160" w:line="276" w:lineRule="auto"/>
        <w:ind w:left="709" w:hanging="709"/>
        <w:jc w:val="both"/>
      </w:pPr>
      <w:r>
        <w:rPr>
          <w:rFonts w:ascii="Times New Roman" w:cs="Times New Roman" w:eastAsia="Times New Roman" w:hAnsi="Times New Roman"/>
          <w:sz w:val="24"/>
          <w:szCs w:val="24"/>
        </w:rPr>
        <w:t xml:space="preserve">Trading Economics. (2026). Indonesia 10-year government bond yield. https://tradingeconomics.com/indonesia/government-bond-yield</w:t>
      </w:r>
    </w:p>
    <w:p>
      <w:pPr>
        <w:spacing w:after="160" w:line="276" w:lineRule="auto"/>
        <w:ind w:left="709" w:hanging="709"/>
        <w:jc w:val="both"/>
      </w:pPr>
      <w:r>
        <w:rPr>
          <w:rFonts w:ascii="Times New Roman" w:cs="Times New Roman" w:eastAsia="Times New Roman" w:hAnsi="Times New Roman"/>
          <w:sz w:val="24"/>
          <w:szCs w:val="24"/>
        </w:rPr>
        <w:t xml:space="preserve">TVRI News. (2026). Gerakan pilah sampah di jakarta capai 23,14 persen. https://metropolitan.tvrinews.com/berita/t5eewgr-gerakan-pilah-sampah-di-jakarta-capai-2314-persen</w:t>
      </w:r>
    </w:p>
    <w:p>
      <w:pPr>
        <w:spacing w:after="160" w:line="276" w:lineRule="auto"/>
        <w:ind w:left="709" w:hanging="709"/>
        <w:jc w:val="both"/>
      </w:pPr>
      <w:r>
        <w:rPr>
          <w:rFonts w:ascii="Times New Roman" w:cs="Times New Roman" w:eastAsia="Times New Roman" w:hAnsi="Times New Roman"/>
          <w:sz w:val="24"/>
          <w:szCs w:val="24"/>
        </w:rPr>
        <w:t xml:space="preserve">Waste Dive. (2022). Roadrunner recycling acquires compology to expand ai-powered waste analytics. https://www.wastedive.com/news/roadrunner-recycling-compology-acquisition-ai-technology/633392/</w:t>
      </w:r>
    </w:p>
    <w:p>
      <w:pPr>
        <w:spacing w:after="160" w:line="276" w:lineRule="auto"/>
        <w:ind w:left="709" w:hanging="709"/>
        <w:jc w:val="both"/>
      </w:pPr>
      <w:r>
        <w:rPr>
          <w:rFonts w:ascii="Times New Roman" w:cs="Times New Roman" w:eastAsia="Times New Roman" w:hAnsi="Times New Roman"/>
          <w:sz w:val="24"/>
          <w:szCs w:val="24"/>
        </w:rPr>
        <w:t xml:space="preserve">Waste4Change. (2026). Sirkular - integrated waste management information system. https://waste4change.com/sirkular-en</w:t>
      </w:r>
    </w:p>
    <w:p>
      <w:pPr>
        <w:sectPr>
          <w:footerReference w:type="default" r:id="rId8"/>
          <w:type w:val="nextPage"/>
          <w:pgSz w:w="11906" w:h="16838" w:orient="portrait"/>
          <w:pgMar w:top="1701" w:right="1701" w:bottom="1701" w:left="2268" w:header="708" w:footer="708" w:gutter="0"/>
          <w:pgNumType w:start="1" w:fmt="decimal"/>
          <w:docGrid w:linePitch="360"/>
        </w:sectPr>
      </w:pPr>
    </w:p>
    <w:p>
      <w:pPr>
        <w:spacing w:after="240" w:line="360" w:lineRule="auto"/>
        <w:jc w:val="center"/>
      </w:pPr>
      <w:r>
        <w:rPr>
          <w:rFonts w:ascii="Times New Roman" w:cs="Times New Roman" w:eastAsia="Times New Roman" w:hAnsi="Times New Roman"/>
          <w:b/>
          <w:bCs/>
          <w:sz w:val="28"/>
          <w:szCs w:val="28"/>
        </w:rPr>
        <w:t xml:space="preserve">Lampiran 1 — Business Model Canvas</w:t>
      </w:r>
    </w:p>
    <w:tbl>
      <w:tblPr>
        <w:tblW w:type="dxa" w:w="13040"/>
        <w:tblBorders>
          <w:top w:val="single" w:color="auto" w:sz="4"/>
          <w:left w:val="single" w:color="auto" w:sz="4"/>
          <w:bottom w:val="single" w:color="auto" w:sz="4"/>
          <w:right w:val="single" w:color="auto" w:sz="4"/>
          <w:insideH w:val="single" w:color="auto" w:sz="4"/>
          <w:insideV w:val="single" w:color="auto" w:sz="4"/>
        </w:tblBorders>
      </w:tblPr>
      <w:tblGrid>
        <w:gridCol w:w="2608"/>
        <w:gridCol w:w="2608"/>
        <w:gridCol w:w="2608"/>
        <w:gridCol w:w="2608"/>
        <w:gridCol w:w="2608"/>
      </w:tblGrid>
      <w:tr>
        <w:tc>
          <w:tcPr>
            <w:tcW w:type="dxa" w:w="2608"/>
            <w:tcBorders>
              <w:top w:val="single" w:color="000000" w:sz="4"/>
              <w:left w:val="single" w:color="000000" w:sz="4"/>
              <w:bottom w:val="single" w:color="000000" w:sz="4"/>
              <w:right w:val="single" w:color="000000" w:sz="4"/>
            </w:tcBorders>
            <w:shd w:fill="D9D9D9" w:val="clear"/>
            <w:tcMar>
              <w:top w:type="dxa" w:w="30"/>
              <w:left w:type="dxa" w:w="80"/>
              <w:bottom w:type="dxa" w:w="30"/>
              <w:right w:type="dxa" w:w="80"/>
            </w:tcMar>
          </w:tcPr>
          <w:p>
            <w:pPr>
              <w:spacing w:after="0"/>
            </w:pPr>
            <w:r>
              <w:rPr>
                <w:rFonts w:ascii="Times New Roman" w:cs="Times New Roman" w:eastAsia="Times New Roman" w:hAnsi="Times New Roman"/>
                <w:b/>
                <w:bCs/>
                <w:sz w:val="20"/>
                <w:szCs w:val="20"/>
              </w:rPr>
              <w:t xml:space="preserve">Key Partnerships</w:t>
            </w:r>
          </w:p>
        </w:tc>
        <w:tc>
          <w:tcPr>
            <w:tcW w:type="dxa" w:w="2608"/>
            <w:tcBorders>
              <w:top w:val="single" w:color="000000" w:sz="4"/>
              <w:left w:val="single" w:color="000000" w:sz="4"/>
              <w:bottom w:val="single" w:color="000000" w:sz="4"/>
              <w:right w:val="single" w:color="000000" w:sz="4"/>
            </w:tcBorders>
            <w:shd w:fill="D9D9D9" w:val="clear"/>
            <w:tcMar>
              <w:top w:type="dxa" w:w="30"/>
              <w:left w:type="dxa" w:w="80"/>
              <w:bottom w:type="dxa" w:w="30"/>
              <w:right w:type="dxa" w:w="80"/>
            </w:tcMar>
          </w:tcPr>
          <w:p>
            <w:pPr>
              <w:spacing w:after="0"/>
            </w:pPr>
            <w:r>
              <w:rPr>
                <w:rFonts w:ascii="Times New Roman" w:cs="Times New Roman" w:eastAsia="Times New Roman" w:hAnsi="Times New Roman"/>
                <w:b/>
                <w:bCs/>
                <w:sz w:val="20"/>
                <w:szCs w:val="20"/>
              </w:rPr>
              <w:t xml:space="preserve">Key Activities</w:t>
            </w:r>
          </w:p>
        </w:tc>
        <w:tc>
          <w:tcPr>
            <w:tcW w:type="dxa" w:w="2608"/>
            <w:tcBorders>
              <w:top w:val="single" w:color="000000" w:sz="4"/>
              <w:left w:val="single" w:color="000000" w:sz="4"/>
              <w:bottom w:val="single" w:color="000000" w:sz="4"/>
              <w:right w:val="single" w:color="000000" w:sz="4"/>
            </w:tcBorders>
            <w:shd w:fill="D9D9D9" w:val="clear"/>
            <w:tcMar>
              <w:top w:type="dxa" w:w="30"/>
              <w:left w:type="dxa" w:w="80"/>
              <w:bottom w:type="dxa" w:w="30"/>
              <w:right w:type="dxa" w:w="80"/>
            </w:tcMar>
          </w:tcPr>
          <w:p>
            <w:pPr>
              <w:spacing w:after="0"/>
            </w:pPr>
            <w:r>
              <w:rPr>
                <w:rFonts w:ascii="Times New Roman" w:cs="Times New Roman" w:eastAsia="Times New Roman" w:hAnsi="Times New Roman"/>
                <w:b/>
                <w:bCs/>
                <w:sz w:val="20"/>
                <w:szCs w:val="20"/>
              </w:rPr>
              <w:t xml:space="preserve">Value Propositions</w:t>
            </w:r>
          </w:p>
        </w:tc>
        <w:tc>
          <w:tcPr>
            <w:tcW w:type="dxa" w:w="2608"/>
            <w:tcBorders>
              <w:top w:val="single" w:color="000000" w:sz="4"/>
              <w:left w:val="single" w:color="000000" w:sz="4"/>
              <w:bottom w:val="single" w:color="000000" w:sz="4"/>
              <w:right w:val="single" w:color="000000" w:sz="4"/>
            </w:tcBorders>
            <w:shd w:fill="D9D9D9" w:val="clear"/>
            <w:tcMar>
              <w:top w:type="dxa" w:w="30"/>
              <w:left w:type="dxa" w:w="80"/>
              <w:bottom w:type="dxa" w:w="30"/>
              <w:right w:type="dxa" w:w="80"/>
            </w:tcMar>
          </w:tcPr>
          <w:p>
            <w:pPr>
              <w:spacing w:after="0"/>
            </w:pPr>
            <w:r>
              <w:rPr>
                <w:rFonts w:ascii="Times New Roman" w:cs="Times New Roman" w:eastAsia="Times New Roman" w:hAnsi="Times New Roman"/>
                <w:b/>
                <w:bCs/>
                <w:sz w:val="20"/>
                <w:szCs w:val="20"/>
              </w:rPr>
              <w:t xml:space="preserve">Customer Relationships</w:t>
            </w:r>
          </w:p>
        </w:tc>
        <w:tc>
          <w:tcPr>
            <w:tcW w:type="dxa" w:w="2608"/>
            <w:tcBorders>
              <w:top w:val="single" w:color="000000" w:sz="4"/>
              <w:left w:val="single" w:color="000000" w:sz="4"/>
              <w:bottom w:val="single" w:color="000000" w:sz="4"/>
              <w:right w:val="single" w:color="000000" w:sz="4"/>
            </w:tcBorders>
            <w:shd w:fill="D9D9D9" w:val="clear"/>
            <w:tcMar>
              <w:top w:type="dxa" w:w="30"/>
              <w:left w:type="dxa" w:w="80"/>
              <w:bottom w:type="dxa" w:w="30"/>
              <w:right w:type="dxa" w:w="80"/>
            </w:tcMar>
          </w:tcPr>
          <w:p>
            <w:pPr>
              <w:spacing w:after="0"/>
            </w:pPr>
            <w:r>
              <w:rPr>
                <w:rFonts w:ascii="Times New Roman" w:cs="Times New Roman" w:eastAsia="Times New Roman" w:hAnsi="Times New Roman"/>
                <w:b/>
                <w:bCs/>
                <w:sz w:val="20"/>
                <w:szCs w:val="20"/>
              </w:rPr>
              <w:t xml:space="preserve">Customer Segments</w:t>
            </w:r>
          </w:p>
        </w:tc>
      </w:tr>
      <w:t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Penyedia konektivitas IoT (Telkomsel/operator NB-IoT)</w:t>
            </w:r>
          </w:p>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Vendor sensor IoT (Microthings) &amp; integrator</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DLH DKI, operator TPST Bantar Gebang &amp; RDF Rorotan</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Pengembangan &amp; pemeliharaan platform (firmware, </w:t>
            </w:r>
            <w:r>
              <w:rPr>
                <w:rFonts w:ascii="Times New Roman" w:cs="Times New Roman" w:eastAsia="Times New Roman" w:hAnsi="Times New Roman"/>
                <w:i/>
                <w:iCs/>
                <w:sz w:val="24"/>
                <w:szCs w:val="24"/>
              </w:rPr>
              <w:t xml:space="preserve">Dynamic Routing AI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Predictive RDF Allocation</w:t>
            </w:r>
            <w:r>
              <w:rPr>
                <w:rFonts w:ascii="Times New Roman" w:cs="Times New Roman" w:eastAsia="Times New Roman" w:hAnsi="Times New Roman"/>
                <w:sz w:val="24"/>
                <w:szCs w:val="24"/>
              </w:rPr>
              <w:t xml:space="preserve">)</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Pemasangan &amp; kalibrasi sensor</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Optimalisasi rute pengangkutan — hemat BBM, jemput saat kontainer ≥80% penuh</w:t>
            </w:r>
          </w:p>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 laporan ESG siap audit</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Kepatuhan Pergub DKI 102/2021 tanpa tambahan SDM signifikan</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Dukungan teknis &amp; </w:t>
            </w:r>
            <w:r>
              <w:rPr>
                <w:rFonts w:ascii="Times New Roman" w:cs="Times New Roman" w:eastAsia="Times New Roman" w:hAnsi="Times New Roman"/>
                <w:i/>
                <w:iCs/>
                <w:sz w:val="24"/>
                <w:szCs w:val="24"/>
              </w:rPr>
              <w:t xml:space="preserve">onboarding</w:t>
            </w:r>
            <w:r>
              <w:rPr>
                <w:rFonts w:ascii="Times New Roman" w:cs="Times New Roman" w:eastAsia="Times New Roman" w:hAnsi="Times New Roman"/>
                <w:sz w:val="24"/>
                <w:szCs w:val="24"/>
              </w:rPr>
              <w:t xml:space="preserve"> responsif</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Portal pelaporan &amp; SLA khusus B2G</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DLH DKI Jakarta (B2G)</w:t>
            </w:r>
          </w:p>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Pengelola mal/gedung kantor/kawasan industri (B2B)</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Ekspansi kota besar lain (tahun 4–5)</w:t>
            </w:r>
          </w:p>
        </w:tc>
      </w:tr>
      <w:t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Tim (Data/AI, operasi lapangan) + platform</w:t>
            </w:r>
          </w:p>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Sensor IoT &amp; jaringan konektivitas</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 historis sampah/armada (aset data)</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Penjualan langsung B2B + asosiasi pengelola gedung</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Kemitraan vendor pengangkut sampah berizin</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tc>
      </w:tr>
      <w:tr>
        <w:tc>
          <w:tcPr>
            <w:tcW w:type="dxa" w:w="5216"/>
            <w:gridSpan w:val="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40"/>
            </w:pPr>
            <w:r>
              <w:rPr>
                <w:rFonts w:ascii="Times New Roman" w:cs="Times New Roman" w:eastAsia="Times New Roman" w:hAnsi="Times New Roman"/>
                <w:b/>
                <w:bCs/>
                <w:sz w:val="20"/>
                <w:szCs w:val="20"/>
              </w:rPr>
              <w:t xml:space="preserve">Cost Structure</w:t>
            </w:r>
          </w:p>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Gaji tim &amp; pengembangan/pemeliharaan platform (</w:t>
            </w:r>
            <w:r>
              <w:rPr>
                <w:rFonts w:ascii="Times New Roman" w:cs="Times New Roman" w:eastAsia="Times New Roman" w:hAnsi="Times New Roman"/>
                <w:i/>
                <w:iCs/>
                <w:sz w:val="24"/>
                <w:szCs w:val="24"/>
              </w:rPr>
              <w:t xml:space="preserve">cloud</w:t>
            </w:r>
            <w:r>
              <w:rPr>
                <w:rFonts w:ascii="Times New Roman" w:cs="Times New Roman" w:eastAsia="Times New Roman" w:hAnsi="Times New Roman"/>
                <w:sz w:val="24"/>
                <w:szCs w:val="24"/>
              </w:rPr>
              <w:t xml:space="preserve">)</w:t>
            </w:r>
          </w:p>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Pembelian, instalasi &amp; konektivitas sensor</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Pemeliharaan lapangan &amp; komisi penjualan (variabel)</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tc>
        <w:tc>
          <w:tcPr>
            <w:tcW w:type="dxa" w:w="5216"/>
            <w:gridSpan w:val="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40"/>
            </w:pPr>
            <w:r>
              <w:rPr>
                <w:rFonts w:ascii="Times New Roman" w:cs="Times New Roman" w:eastAsia="Times New Roman" w:hAnsi="Times New Roman"/>
                <w:b/>
                <w:bCs/>
                <w:sz w:val="20"/>
                <w:szCs w:val="20"/>
              </w:rPr>
              <w:t xml:space="preserve">Revenue Streams</w:t>
            </w:r>
          </w:p>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Lisensi SaaS tahunan (B2G) + penjualan unit sensor</w:t>
            </w:r>
          </w:p>
          <w:p>
            <w:pPr>
              <w:spacing w:after="4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Langganan bulanan per kontainer (B2B)</w:t>
            </w:r>
          </w:p>
          <w:p>
            <w:pPr>
              <w:spacing w:after="0" w:line="240" w:lineRule="auto"/>
              <w:ind w:left="170" w:hanging="17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Modul tambahan pelaporan ESG/analitik premium</w:t>
            </w:r>
          </w:p>
        </w:tc>
      </w:tr>
    </w:tbl>
    <w:p>
      <w:pPr>
        <w:spacing w:after="0" w:before="40" w:line="240" w:lineRule="auto"/>
        <w:jc w:val="center"/>
      </w:pPr>
      <w:r>
        <w:rPr>
          <w:rFonts w:ascii="Times New Roman" w:cs="Times New Roman" w:eastAsia="Times New Roman" w:hAnsi="Times New Roman"/>
          <w:i/>
          <w:iCs/>
          <w:sz w:val="20"/>
          <w:szCs w:val="20"/>
        </w:rPr>
        <w:t xml:space="preserve">Tabel 15. Business Model Canvas Alurin</w:t>
      </w:r>
    </w:p>
    <w:p>
      <w:pPr>
        <w:sectPr>
          <w:footerReference w:type="default" r:id="rId9"/>
          <w:type w:val="nextPage"/>
          <w:pgSz w:w="16838" w:h="11906" w:orient="landscape"/>
          <w:pgMar w:top="1701" w:right="1701" w:bottom="1701" w:left="1701" w:header="708" w:footer="708" w:gutter="0"/>
          <w:pgNumType w:fmt="decimal"/>
          <w:docGrid w:linePitch="360"/>
        </w:sectPr>
      </w:pPr>
    </w:p>
    <w:p>
      <w:pPr>
        <w:spacing w:after="240" w:line="360" w:lineRule="auto"/>
        <w:jc w:val="center"/>
      </w:pPr>
      <w:r>
        <w:rPr>
          <w:rFonts w:ascii="Times New Roman" w:cs="Times New Roman" w:eastAsia="Times New Roman" w:hAnsi="Times New Roman"/>
          <w:b/>
          <w:bCs/>
          <w:sz w:val="28"/>
          <w:szCs w:val="28"/>
        </w:rPr>
        <w:t xml:space="preserve">Lampiran 2 — Biodata</w:t>
      </w:r>
    </w:p>
    <w:p>
      <w:pPr>
        <w:spacing w:after="0" w:line="360" w:lineRule="auto"/>
        <w:ind w:firstLine="709"/>
        <w:jc w:val="both"/>
      </w:pPr>
      <w:r>
        <w:rPr>
          <w:rFonts w:ascii="Times New Roman" w:cs="Times New Roman" w:eastAsia="Times New Roman" w:hAnsi="Times New Roman"/>
          <w:i/>
          <w:iCs/>
          <w:sz w:val="24"/>
          <w:szCs w:val="24"/>
        </w:rPr>
        <w:t xml:space="preserve">Kolom yang belum tersedia datanya ditandai dengan garis kosong dan wajib dilengkapi tim sebelum submisi.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51"/>
        <w:gridCol w:w="5386"/>
      </w:tblGrid>
      <w:tr>
        <w:tc>
          <w:tcPr>
            <w:tcW w:type="dxa" w:w="7937"/>
            <w:gridSpan w:val="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40"/>
            </w:pPr>
            <w:r>
              <w:rPr>
                <w:rFonts w:ascii="Times New Roman" w:cs="Times New Roman" w:eastAsia="Times New Roman" w:hAnsi="Times New Roman"/>
                <w:b/>
                <w:bCs/>
                <w:sz w:val="20"/>
                <w:szCs w:val="20"/>
              </w:rPr>
              <w:t xml:space="preserve">Anggota 1</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Nama Lengkap</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Hansel Stevan Boike</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NIM</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140810240079</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Asal Institusi</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Universitas Padjadjaran</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Jurusan/Program Studi</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Tahun Angkatan</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Tempat, Tanggal Lahir</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Alamat</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Email Aktif</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Nomor WhatsApp</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7937"/>
            <w:gridSpan w:val="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40"/>
            </w:pPr>
            <w:r>
              <w:rPr>
                <w:rFonts w:ascii="Times New Roman" w:cs="Times New Roman" w:eastAsia="Times New Roman" w:hAnsi="Times New Roman"/>
                <w:b/>
                <w:bCs/>
                <w:sz w:val="20"/>
                <w:szCs w:val="20"/>
              </w:rPr>
              <w:t xml:space="preserve">Anggota 2</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Nama Lengkap</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Bryan Patrick Kurniawan</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NIM</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2802420920</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Asal Institusi</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Universitas Bina Nusantara</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Jurusan/Program Studi</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Tahun Angkatan</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Tempat, Tanggal Lahir</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Alamat</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Email Aktif</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Nomor WhatsApp</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7937"/>
            <w:gridSpan w:val="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40"/>
            </w:pPr>
            <w:r>
              <w:rPr>
                <w:rFonts w:ascii="Times New Roman" w:cs="Times New Roman" w:eastAsia="Times New Roman" w:hAnsi="Times New Roman"/>
                <w:b/>
                <w:bCs/>
                <w:sz w:val="20"/>
                <w:szCs w:val="20"/>
              </w:rPr>
              <w:t xml:space="preserve">Anggota 3</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Nama Lengkap</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Michael Hau</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NIM</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125240042</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Asal Institusi</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Universitas Tarumanegara</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Jurusan/Program Studi</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Tahun Angkatan</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Tempat, Tanggal Lahir</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Alamat</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Email Aktif</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r>
        <w:tc>
          <w:tcPr>
            <w:tcW w:type="dxa" w:w="2551"/>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jc w:val="both"/>
            </w:pPr>
            <w:r>
              <w:rPr>
                <w:rFonts w:ascii="Times New Roman" w:cs="Times New Roman" w:eastAsia="Times New Roman" w:hAnsi="Times New Roman"/>
                <w:b w:val="false"/>
                <w:bCs w:val="false"/>
                <w:sz w:val="20"/>
                <w:szCs w:val="20"/>
              </w:rPr>
              <w:t xml:space="preserve">Nomor WhatsApp</w:t>
            </w:r>
          </w:p>
        </w:tc>
        <w:tc>
          <w:tcPr>
            <w:tcW w:type="dxa" w:w="538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line="276" w:lineRule="auto"/>
            </w:pPr>
            <w:r>
              <w:rPr>
                <w:rFonts w:ascii="Times New Roman" w:cs="Times New Roman" w:eastAsia="Times New Roman" w:hAnsi="Times New Roman"/>
                <w:sz w:val="24"/>
                <w:szCs w:val="24"/>
                <w:u w:val="single"/>
              </w:rPr>
              <w:t xml:space="preserve">                                                                  </w:t>
            </w:r>
          </w:p>
        </w:tc>
      </w:tr>
    </w:tbl>
    <w:p>
      <w:pPr>
        <w:spacing w:after="0" w:before="100" w:line="276" w:lineRule="auto"/>
        <w:jc w:val="center"/>
      </w:pPr>
      <w:r>
        <w:rPr>
          <w:rFonts w:ascii="Times New Roman" w:cs="Times New Roman" w:eastAsia="Times New Roman" w:hAnsi="Times New Roman"/>
          <w:i/>
          <w:iCs/>
          <w:sz w:val="20"/>
          <w:szCs w:val="20"/>
        </w:rPr>
        <w:t xml:space="preserve">Tabel 16. Biodata tim (nama/NIM/institusi terisi; kolom lain menunggu data dari masing-masing anggota)</w:t>
      </w:r>
    </w:p>
    <w:sectPr>
      <w:footerReference w:type="default" r:id="rId10"/>
      <w:type w:val="nextPage"/>
      <w:pgSz w:w="11906" w:h="16838" w:orient="portrait"/>
      <w:pgMar w:top="1701" w:right="1701" w:bottom="1701" w:left="2268"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2026-08-27T19:50:39.108Z</dcterms:created>
  <dcterms:modified xsi:type="dcterms:W3CDTF">2026-08-27T19:50:39.109Z</dcterms:modified>
</cp:coreProperties>
</file>

<file path=docProps/custom.xml><?xml version="1.0" encoding="utf-8"?>
<Properties xmlns="http://schemas.openxmlformats.org/officeDocument/2006/custom-properties" xmlns:vt="http://schemas.openxmlformats.org/officeDocument/2006/docPropsVTypes"/>
</file>