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95275"/>
          <w:sz w:val="18"/>
        </w:rPr>
        <w:t>5COSC019W  |  OBJECT ORIENTED PROGRAMMING</w:t>
      </w:r>
    </w:p>
    <w:p>
      <w:pPr>
        <w:pStyle w:val="Title"/>
      </w:pPr>
      <w:r>
        <w:t>Student Assessment Briefing</w:t>
      </w:r>
    </w:p>
    <w:p>
      <w:r>
        <w:rPr>
          <w:i/>
        </w:rPr>
        <w:t>Lab-based practical — format, preparation and rules</w:t>
      </w:r>
    </w:p>
    <w:p>
      <w:r>
        <w:rPr>
          <w:b/>
          <w:color w:val="9B4114"/>
          <w:sz w:val="18"/>
        </w:rPr>
        <w:t>STUDENT DISTRIBUTION • Actual examination questions and scenarios are intentionally excluded</w:t>
      </w:r>
    </w:p>
    <w:p>
      <w:pPr>
        <w:pStyle w:val="Heading1"/>
      </w:pPr>
      <w:r>
        <w:t>Purpose</w:t>
      </w:r>
    </w:p>
    <w:p>
      <w:r>
        <w:t>This document explains how to prepare for the official assessment without revealing actual examination papers, starter implementation details or task-specific solutions.</w:t>
      </w:r>
    </w:p>
    <w:p>
      <w:pPr>
        <w:pStyle w:val="Heading1"/>
      </w:pPr>
      <w:r>
        <w:t>Assessment at a glance</w:t>
      </w:r>
    </w:p>
    <w:p>
      <w:r>
        <w:t>The 5COSC019W – Object Oriented Programming lab-based practical is an individual timed programming assessment. The assessed work is performed in an IDE on a supplied Java/Maven/Spring Boot starter project. The assessment contributes 40% of the module grade, subject to the approved module documentation.</w:t>
      </w:r>
    </w:p>
    <w:p>
      <w:pPr>
        <w:pStyle w:val="Heading1"/>
      </w:pPr>
      <w:r>
        <w:t>Duration and assessment structure</w:t>
      </w:r>
    </w:p>
    <w:p>
      <w:r>
        <w:t>The working time is 100 minutes. Four source-code tasks comprise Section A (80 marks). Section B contains functional checks of the running program (20 marks). The four source-code components carry 18, 22, 20 and 20 marks respectively. This information describes the assessment format; it does not reveal the actual questions or scenarios.</w:t>
      </w:r>
    </w:p>
    <w:p>
      <w:pPr>
        <w:pStyle w:val="Heading1"/>
      </w:pPr>
      <w:r>
        <w:t>Areas of competency</w:t>
      </w:r>
    </w:p>
    <w:p>
      <w:r>
        <w:t>You must independently implement Java OOP constructs (classes, constructors, access control, inheritance, overriding, abstraction and polymorphism); work within controller, service and repository layers; implement validation and exception handling; create appropriate REST mappings and HTTP responses; compile, run, debug and functionally test a Spring Boot application.</w:t>
      </w:r>
    </w:p>
    <w:p>
      <w:pPr>
        <w:pStyle w:val="Heading1"/>
      </w:pPr>
      <w:r>
        <w:t>Before the assessment</w:t>
      </w:r>
    </w:p>
    <w:p>
      <w:r>
        <w:t>Review the lecture/lab material and the published module learning outcomes. Complete the module’s mock/practice tasks. Check that Java, IntelliJ IDEA, Maven and the necessary dependencies are available in the laboratory environment. Practise importing an existing pom.xml, launching an application, reading error logs, invoking REST endpoints and packaging a ZIP.</w:t>
      </w:r>
    </w:p>
    <w:p>
      <w:pPr>
        <w:pStyle w:val="Heading1"/>
      </w:pPr>
      <w:r>
        <w:t>During the assessment</w:t>
      </w:r>
    </w:p>
    <w:p>
      <w:r>
        <w:t>Read all tasks and their marks before coding. Open the supplied project rather than creating an unrelated project. Work within the specified files and preserve relevant interfaces. Attempt all tasks; progress from core model behaviour to service/controller integration. Compile and test regularly. Reserve roughly the final 10 minutes for running final checks, verifying the ZIP and uploading it.</w:t>
      </w:r>
    </w:p>
    <w:p>
      <w:pPr>
        <w:pStyle w:val="Heading1"/>
      </w:pPr>
      <w:r>
        <w:t>How marks are awarded</w:t>
      </w:r>
    </w:p>
    <w:p>
      <w:r>
        <w:t>Section A checks the source code against criterion-level requirements, with partial credit possible for relevant attempts. Section B checks executable functionality. A project that does not start cannot demonstrate the Section B behaviours, but its Section A source code can still be examined. Correct compilation is necessary but does not by itself prove correct functionality.</w:t>
      </w:r>
    </w:p>
    <w:p>
      <w:pPr>
        <w:pStyle w:val="Heading1"/>
      </w:pPr>
      <w:r>
        <w:t>Submission</w:t>
      </w:r>
    </w:p>
    <w:p>
      <w:r>
        <w:t>Unless your invigilator or the approved Blackboard instructions state otherwise, submit one ZIP containing the complete Maven project, including pom.xml and src/main. Verify that the ZIP can be opened and that your latest changes are included. Follow the exact submission filename, time limit and contingency procedure communicated for the actual assessment.</w:t>
      </w:r>
    </w:p>
    <w:p>
      <w:pPr>
        <w:pStyle w:val="Heading1"/>
      </w:pPr>
      <w:r>
        <w:t>Academic integrity and resources</w:t>
      </w:r>
    </w:p>
    <w:p>
      <w:r>
        <w:t>This is an individual assessment. You must not collaborate, exchange code or communicate with classmates during the test. Follow the approved assessment’s precise policy for AI assistants, documentation, course resources and personal notes; a practice paper is not authority to use resources in the real assessment. Where a conflict exists, the final published examination instructions take precedence.</w:t>
      </w:r>
    </w:p>
    <w:p>
      <w:pPr>
        <w:pStyle w:val="Heading1"/>
      </w:pPr>
      <w:r>
        <w:t>How to use the three practice papers</w:t>
      </w:r>
    </w:p>
    <w:p>
      <w:r>
        <w:t>Complete the SIMPLE parking exercise first, the MODERATE dispatch exercise second, then the EXTREMELY HARD scheduler as a stretch challenge. Each is an independent 100-mark sample; the extreme paper intentionally goes beyond routine expectations. Attempt each starter without consulting solutions. Afterwards compare with the staff reference only where your lecturer authorises their release. These examples are not the actual examination and do not disclose or predict its topic.</w:t>
      </w:r>
    </w:p>
    <w:p>
      <w:pPr>
        <w:pStyle w:val="Heading1"/>
      </w:pPr>
      <w:r>
        <w:t>Practical preparation checklist</w:t>
      </w:r>
    </w:p>
    <w:p>
      <w:r>
        <w:t>Be able to explain your model hierarchy, trace a polymorphic method call, reproduce a calculation from sample inputs, validate bad data, identify appropriate HTTP status codes, diagnose stack traces, run endpoint checks, and verify that a submitted ZIP is complete. Practise getting partial working milestones instead of writing all code before the first run.</w:t>
      </w:r>
    </w:p>
    <w:p>
      <w:pPr>
        <w:pStyle w:val="Heading1"/>
      </w:pPr>
      <w:r>
        <w:t>Marking profile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shd w:fill="16304B"/>
          </w:tcPr>
          <w:p>
            <w:r>
              <w:rPr>
                <w:b/>
                <w:color w:val="FFFFFF"/>
              </w:rPr>
              <w:t>Section</w:t>
            </w:r>
          </w:p>
        </w:tc>
        <w:tc>
          <w:tcPr>
            <w:tcW w:type="dxa" w:w="3264"/>
            <w:shd w:fill="16304B"/>
          </w:tcPr>
          <w:p>
            <w:r>
              <w:rPr>
                <w:b/>
                <w:color w:val="FFFFFF"/>
              </w:rPr>
              <w:t>Competency assessed</w:t>
            </w:r>
          </w:p>
        </w:tc>
        <w:tc>
          <w:tcPr>
            <w:tcW w:type="dxa" w:w="3264"/>
            <w:shd w:fill="16304B"/>
          </w:tcPr>
          <w:p>
            <w:r>
              <w:rPr>
                <w:b/>
                <w:color w:val="FFFFFF"/>
              </w:rPr>
              <w:t>Marks</w:t>
            </w:r>
          </w:p>
        </w:tc>
      </w:tr>
      <w:tr>
        <w:tc>
          <w:tcPr>
            <w:tcW w:type="dxa" w:w="3264"/>
          </w:tcPr>
          <w:p>
            <w:r>
              <w:t>A – Task 1</w:t>
            </w:r>
          </w:p>
        </w:tc>
        <w:tc>
          <w:tcPr>
            <w:tcW w:type="dxa" w:w="3264"/>
          </w:tcPr>
          <w:p>
            <w:r>
              <w:t>Java OOP implementation</w:t>
            </w:r>
          </w:p>
        </w:tc>
        <w:tc>
          <w:tcPr>
            <w:tcW w:type="dxa" w:w="3264"/>
          </w:tcPr>
          <w:p>
            <w:r>
              <w:t>18</w:t>
            </w:r>
          </w:p>
        </w:tc>
      </w:tr>
      <w:tr>
        <w:tc>
          <w:tcPr>
            <w:tcW w:type="dxa" w:w="3264"/>
          </w:tcPr>
          <w:p>
            <w:r>
              <w:t>A – Task 2</w:t>
            </w:r>
          </w:p>
        </w:tc>
        <w:tc>
          <w:tcPr>
            <w:tcW w:type="dxa" w:w="3264"/>
          </w:tcPr>
          <w:p>
            <w:r>
              <w:t>Applied OOP and polymorphism</w:t>
            </w:r>
          </w:p>
        </w:tc>
        <w:tc>
          <w:tcPr>
            <w:tcW w:type="dxa" w:w="3264"/>
          </w:tcPr>
          <w:p>
            <w:r>
              <w:t>22</w:t>
            </w:r>
          </w:p>
        </w:tc>
      </w:tr>
      <w:tr>
        <w:tc>
          <w:tcPr>
            <w:tcW w:type="dxa" w:w="3264"/>
          </w:tcPr>
          <w:p>
            <w:r>
              <w:t>A – Task 3</w:t>
            </w:r>
          </w:p>
        </w:tc>
        <w:tc>
          <w:tcPr>
            <w:tcW w:type="dxa" w:w="3264"/>
          </w:tcPr>
          <w:p>
            <w:r>
              <w:t>Services, validation and exceptions</w:t>
            </w:r>
          </w:p>
        </w:tc>
        <w:tc>
          <w:tcPr>
            <w:tcW w:type="dxa" w:w="3264"/>
          </w:tcPr>
          <w:p>
            <w:r>
              <w:t>20</w:t>
            </w:r>
          </w:p>
        </w:tc>
      </w:tr>
      <w:tr>
        <w:tc>
          <w:tcPr>
            <w:tcW w:type="dxa" w:w="3264"/>
          </w:tcPr>
          <w:p>
            <w:r>
              <w:t>A – Task 4</w:t>
            </w:r>
          </w:p>
        </w:tc>
        <w:tc>
          <w:tcPr>
            <w:tcW w:type="dxa" w:w="3264"/>
          </w:tcPr>
          <w:p>
            <w:r>
              <w:t>Spring REST API integration</w:t>
            </w:r>
          </w:p>
        </w:tc>
        <w:tc>
          <w:tcPr>
            <w:tcW w:type="dxa" w:w="3264"/>
          </w:tcPr>
          <w:p>
            <w:r>
              <w:t>20</w:t>
            </w:r>
          </w:p>
        </w:tc>
      </w:tr>
      <w:tr>
        <w:tc>
          <w:tcPr>
            <w:tcW w:type="dxa" w:w="3264"/>
          </w:tcPr>
          <w:p>
            <w:r>
              <w:t>B</w:t>
            </w:r>
          </w:p>
        </w:tc>
        <w:tc>
          <w:tcPr>
            <w:tcW w:type="dxa" w:w="3264"/>
          </w:tcPr>
          <w:p>
            <w:r>
              <w:t>Functional verification</w:t>
            </w:r>
          </w:p>
        </w:tc>
        <w:tc>
          <w:tcPr>
            <w:tcW w:type="dxa" w:w="3264"/>
          </w:tcPr>
          <w:p>
            <w:r>
              <w:t>20</w:t>
            </w:r>
          </w:p>
        </w:tc>
      </w:tr>
      <w:tr>
        <w:tc>
          <w:tcPr>
            <w:tcW w:type="dxa" w:w="3264"/>
          </w:tcPr>
          <w:p>
            <w:r>
              <w:t>TOTAL</w:t>
            </w:r>
          </w:p>
        </w:tc>
        <w:tc>
          <w:tcPr>
            <w:tcW w:type="dxa" w:w="3264"/>
          </w:tcPr>
          <w:p>
            <w:r/>
          </w:p>
        </w:tc>
        <w:tc>
          <w:tcPr>
            <w:tcW w:type="dxa" w:w="3264"/>
          </w:tcPr>
          <w:p>
            <w:r>
              <w:t>100</w:t>
            </w:r>
          </w:p>
        </w:tc>
      </w:tr>
    </w:tbl>
    <w:p>
      <w:r>
        <w:t>Important: the specific knowledge required, the ordering of activities and all permitted materials are governed by the formally approved instructions for the actual sitting.</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5COSC019W • Practice assessment resource • Not an official examination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54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354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