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200"/>
              <w:left w:type="dxa" w:w="240"/>
              <w:bottom w:type="dxa" w:w="200"/>
              <w:right w:type="dxa" w:w="240"/>
            </w:tcMar>
          </w:tcPr>
          <w:p>
            <w:pPr>
              <w:spacing w:after="80" w:before="0"/>
            </w:pPr>
            <w:r>
              <w:rPr>
                <w:rFonts w:ascii="Arial" w:cs="Arial" w:eastAsia="Arial" w:hAnsi="Arial"/>
                <w:b/>
                <w:bCs/>
                <w:color w:val="FFFFFF"/>
                <w:sz w:val="36"/>
                <w:szCs w:val="36"/>
              </w:rPr>
              <w:t xml:space="preserve">Genie Space Design: Learning Note</w:t>
            </w:r>
          </w:p>
          <w:p>
            <w:pPr>
              <w:spacing w:after="0" w:before="0"/>
            </w:pPr>
            <w:r>
              <w:rPr>
                <w:rFonts w:ascii="Arial" w:cs="Arial" w:eastAsia="Arial" w:hAnsi="Arial"/>
                <w:i/>
                <w:iCs/>
                <w:color w:val="C8DCF0"/>
                <w:sz w:val="22"/>
                <w:szCs w:val="22"/>
              </w:rPr>
              <w:t xml:space="preserve">Why text instructions are the wrong tool for complex SQL logic</w:t>
            </w:r>
          </w:p>
        </w:tc>
      </w:tr>
    </w:tbl>
    <w:p>
      <w:pPr>
        <w:spacing w:after="0" w:before="160"/>
      </w:pPr>
      <w:r>
        <w:t xml:space="preserve"/>
      </w:r>
    </w:p>
    <w:p>
      <w:pPr>
        <w:pStyle w:val="Heading1"/>
        <w:pBdr>
          <w:bottom w:val="single" w:color="1F5C99" w:sz="6" w:space="4"/>
        </w:pBdr>
        <w:spacing w:after="160" w:before="320"/>
      </w:pPr>
      <w:r>
        <w:rPr>
          <w:rFonts w:ascii="Arial" w:cs="Arial" w:eastAsia="Arial" w:hAnsi="Arial"/>
          <w:b/>
          <w:bCs/>
          <w:color w:val="1F5C99"/>
          <w:sz w:val="32"/>
          <w:szCs w:val="32"/>
        </w:rPr>
        <w:t xml:space="preserve">What Is Wrong With This Instruction</w:t>
      </w:r>
    </w:p>
    <w:p>
      <w:pPr>
        <w:spacing w:after="60" w:before="60"/>
      </w:pPr>
      <w:r>
        <w:rPr>
          <w:rFonts w:ascii="Arial" w:cs="Arial" w:eastAsia="Arial" w:hAnsi="Arial"/>
          <w:color w:val="212121"/>
          <w:sz w:val="20"/>
          <w:szCs w:val="20"/>
        </w:rPr>
        <w:t xml:space="preserve">This instruction violates three core Databricks design principles simultaneously.</w:t>
      </w:r>
    </w:p>
    <w:p>
      <w:pPr>
        <w:spacing w:after="0" w:before="80"/>
      </w:pPr>
      <w:r>
        <w:t xml:space="preserve"/>
      </w:r>
    </w:p>
    <w:p>
      <w:pPr>
        <w:spacing w:after="80" w:before="200"/>
      </w:pPr>
      <w:r>
        <w:rPr>
          <w:rFonts w:ascii="Arial" w:cs="Arial" w:eastAsia="Arial" w:hAnsi="Arial"/>
          <w:b/>
          <w:bCs/>
          <w:color w:val="C0392B"/>
          <w:sz w:val="22"/>
          <w:szCs w:val="22"/>
        </w:rPr>
        <w:t xml:space="preserve">Problem 1: It teaches SQL logic through prose, not SQL</w:t>
      </w:r>
    </w:p>
    <w:p>
      <w:pPr>
        <w:spacing w:after="60" w:before="60"/>
      </w:pPr>
      <w:r>
        <w:rPr>
          <w:rFonts w:ascii="Arial" w:cs="Arial" w:eastAsia="Arial" w:hAnsi="Arial"/>
          <w:color w:val="212121"/>
          <w:sz w:val="20"/>
          <w:szCs w:val="20"/>
        </w:rPr>
        <w:t xml:space="preserve">Databricks is explicit that SQL expressions and example SQL should always be prioritised over text instructions. Structured definitions through SQL are more reliable and maintainable than plain text guidance. This instruction is essentially a SQL query written in natural language — Genie now has to parse a paragraph to reconstruct join logic it should simply be shown.</w:t>
      </w:r>
    </w:p>
    <w:p>
      <w:pPr>
        <w:spacing w:after="0" w:before="60"/>
      </w:pPr>
      <w:r>
        <w:t xml:space="preserve"/>
      </w:r>
    </w:p>
    <w:p>
      <w:pPr>
        <w:spacing w:after="80" w:before="200"/>
      </w:pPr>
      <w:r>
        <w:rPr>
          <w:rFonts w:ascii="Arial" w:cs="Arial" w:eastAsia="Arial" w:hAnsi="Arial"/>
          <w:b/>
          <w:bCs/>
          <w:color w:val="C0392B"/>
          <w:sz w:val="22"/>
          <w:szCs w:val="22"/>
        </w:rPr>
        <w:t xml:space="preserve">Problem 2: It is too long and multi-concern for a text instruction</w:t>
      </w:r>
    </w:p>
    <w:p>
      <w:pPr>
        <w:spacing w:after="60" w:before="60"/>
      </w:pPr>
      <w:r>
        <w:rPr>
          <w:rFonts w:ascii="Arial" w:cs="Arial" w:eastAsia="Arial" w:hAnsi="Arial"/>
          <w:color w:val="212121"/>
          <w:sz w:val="20"/>
          <w:szCs w:val="20"/>
        </w:rPr>
        <w:t xml:space="preserve">A single text instruction that touches join type, COALESCE logic across five columns, a lookup table join condition, and a date boundary is doing far too much. Databricks warns that too many instructions reduce effectiveness — especially in longer conversations — because Genie struggles to prioritise the most important guidance. This single instruction is already dense enough to risk being deprioritised or misapplied mid-conversation.</w:t>
      </w:r>
    </w:p>
    <w:p>
      <w:pPr>
        <w:spacing w:after="0" w:before="60"/>
      </w:pPr>
      <w:r>
        <w:t xml:space="preserve"/>
      </w:r>
    </w:p>
    <w:p>
      <w:pPr>
        <w:spacing w:after="80" w:before="200"/>
      </w:pPr>
      <w:r>
        <w:rPr>
          <w:rFonts w:ascii="Arial" w:cs="Arial" w:eastAsia="Arial" w:hAnsi="Arial"/>
          <w:b/>
          <w:bCs/>
          <w:color w:val="C0392B"/>
          <w:sz w:val="22"/>
          <w:szCs w:val="22"/>
        </w:rPr>
        <w:t xml:space="preserve">Problem 3: It signals a data model problem that should be fixed upstream</w:t>
      </w:r>
    </w:p>
    <w:p>
      <w:pPr>
        <w:spacing w:after="60" w:before="60"/>
      </w:pPr>
      <w:r>
        <w:rPr>
          <w:rFonts w:ascii="Arial" w:cs="Arial" w:eastAsia="Arial" w:hAnsi="Arial"/>
          <w:color w:val="212121"/>
          <w:sz w:val="20"/>
          <w:szCs w:val="20"/>
        </w:rPr>
        <w:t xml:space="preserve">The very need for this instruction is a warning sign. If answering participation questions reliably requires a specific LEFT JOIN pattern and COALESCE logic across five columns, that complexity should not live in a text prompt. It should be eliminated at the data layer. The data scientist who wrote this clearly understands the business logic well — that expertise belongs in tested, reusable SQL, not in a paragraph that Genie may or may not follow consistently.</w:t>
      </w:r>
    </w:p>
    <w:p>
      <w:pPr>
        <w:spacing w:after="0" w:before="160"/>
      </w:pPr>
      <w:r>
        <w:t xml:space="preserve"/>
      </w:r>
    </w:p>
    <w:p>
      <w:pPr>
        <w:pStyle w:val="Heading1"/>
        <w:pBdr>
          <w:bottom w:val="single" w:color="1F5C99" w:sz="6" w:space="4"/>
        </w:pBdr>
        <w:spacing w:after="160" w:before="320"/>
      </w:pPr>
      <w:r>
        <w:rPr>
          <w:rFonts w:ascii="Arial" w:cs="Arial" w:eastAsia="Arial" w:hAnsi="Arial"/>
          <w:b/>
          <w:bCs/>
          <w:color w:val="1F5C99"/>
          <w:sz w:val="32"/>
          <w:szCs w:val="32"/>
        </w:rPr>
        <w:t xml:space="preserve">How to Fix It: Priority Order</w:t>
      </w:r>
    </w:p>
    <w:p>
      <w:pPr>
        <w:spacing w:after="60" w:before="60"/>
      </w:pPr>
      <w:r>
        <w:rPr>
          <w:rFonts w:ascii="Arial" w:cs="Arial" w:eastAsia="Arial" w:hAnsi="Arial"/>
          <w:color w:val="212121"/>
          <w:sz w:val="20"/>
          <w:szCs w:val="20"/>
        </w:rPr>
        <w:t xml:space="preserve">Work through the options below in order. Option 1 is almost certainly the right answer for this case.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9" w:val="clear"/>
            <w:tcMar>
              <w:top w:type="dxa" w:w="120"/>
              <w:left w:type="dxa" w:w="180"/>
              <w:bottom w:type="dxa" w:w="120"/>
              <w:right w:type="dxa" w:w="180"/>
            </w:tcMar>
          </w:tcPr>
          <w:p>
            <w:pPr>
              <w:spacing w:after="60" w:before="60"/>
            </w:pPr>
            <w:r>
              <w:rPr>
                <w:rFonts w:ascii="Arial" w:cs="Arial" w:eastAsia="Arial" w:hAnsi="Arial"/>
                <w:b/>
                <w:bCs/>
                <w:color w:val="1A6B1A"/>
                <w:sz w:val="20"/>
                <w:szCs w:val="20"/>
              </w:rPr>
              <w:t xml:space="preserve">Option 1 (Best): Create a Gold/Denormalised View — fix it upstream</w:t>
            </w:r>
          </w:p>
        </w:tc>
      </w:tr>
    </w:tbl>
    <w:p>
      <w:pPr>
        <w:spacing w:after="0" w:before="40"/>
      </w:pPr>
      <w:r>
        <w:t xml:space="preserve"/>
      </w:r>
    </w:p>
    <w:p>
      <w:pPr>
        <w:spacing w:after="60" w:before="60"/>
      </w:pPr>
      <w:r>
        <w:rPr>
          <w:rFonts w:ascii="Arial" w:cs="Arial" w:eastAsia="Arial" w:hAnsi="Arial"/>
          <w:color w:val="212121"/>
          <w:sz w:val="20"/>
          <w:szCs w:val="20"/>
        </w:rPr>
        <w:t xml:space="preserve">A data engineer or the data scientist should create a view (or gold table) that already encodes the LEFT JOIN and COALESCE logic. A well-named view such as vw_loan_participation_combined makes the entire text instruction unnecessary. This approach:</w:t>
      </w:r>
    </w:p>
    <w:p>
      <w:pPr>
        <w:pStyle w:val="ListParagraph"/>
        <w:numPr>
          <w:ilvl w:val="0"/>
          <w:numId w:val="2"/>
        </w:numPr>
        <w:spacing w:after="40" w:before="40"/>
      </w:pPr>
      <w:r>
        <w:rPr>
          <w:rFonts w:ascii="Arial" w:cs="Arial" w:eastAsia="Arial" w:hAnsi="Arial"/>
          <w:color w:val="212121"/>
          <w:sz w:val="20"/>
          <w:szCs w:val="20"/>
        </w:rPr>
        <w:t xml:space="preserve">Encodes the business rule once, in tested SQL, with version control.</w:t>
      </w:r>
    </w:p>
    <w:p>
      <w:pPr>
        <w:pStyle w:val="ListParagraph"/>
        <w:numPr>
          <w:ilvl w:val="0"/>
          <w:numId w:val="2"/>
        </w:numPr>
        <w:spacing w:after="40" w:before="40"/>
      </w:pPr>
      <w:r>
        <w:rPr>
          <w:rFonts w:ascii="Arial" w:cs="Arial" w:eastAsia="Arial" w:hAnsi="Arial"/>
          <w:color w:val="212121"/>
          <w:sz w:val="20"/>
          <w:szCs w:val="20"/>
        </w:rPr>
        <w:t xml:space="preserve">Benefits every Genie space and any other downstream consumer, not just this one.</w:t>
      </w:r>
    </w:p>
    <w:p>
      <w:pPr>
        <w:pStyle w:val="ListParagraph"/>
        <w:numPr>
          <w:ilvl w:val="0"/>
          <w:numId w:val="2"/>
        </w:numPr>
        <w:spacing w:after="40" w:before="40"/>
      </w:pPr>
      <w:r>
        <w:rPr>
          <w:rFonts w:ascii="Arial" w:cs="Arial" w:eastAsia="Arial" w:hAnsi="Arial"/>
          <w:color w:val="212121"/>
          <w:sz w:val="20"/>
          <w:szCs w:val="20"/>
        </w:rPr>
        <w:t xml:space="preserve">Makes the date boundary (&gt;= 12/31/2018) enforceable as a view predicate or a well-documented column description in Unity Catalog.</w:t>
      </w:r>
    </w:p>
    <w:p>
      <w:pPr>
        <w:pStyle w:val="ListParagraph"/>
        <w:numPr>
          <w:ilvl w:val="0"/>
          <w:numId w:val="2"/>
        </w:numPr>
        <w:spacing w:after="40" w:before="40"/>
      </w:pPr>
      <w:r>
        <w:rPr>
          <w:rFonts w:ascii="Arial" w:cs="Arial" w:eastAsia="Arial" w:hAnsi="Arial"/>
          <w:color w:val="212121"/>
          <w:sz w:val="20"/>
          <w:szCs w:val="20"/>
        </w:rPr>
        <w:t xml:space="preserve">Removes ambiguity completely — Genie cannot misinterpret SQL it never has to generate.</w:t>
      </w:r>
    </w:p>
    <w:p>
      <w:pPr>
        <w:spacing w:after="0" w:before="60"/>
      </w:pPr>
      <w:r>
        <w:t xml:space="preserve"/>
      </w:r>
    </w:p>
    <w:p>
      <w:pPr>
        <w:spacing w:after="60" w:before="60"/>
      </w:pPr>
      <w:r>
        <w:rPr>
          <w:rFonts w:ascii="Arial" w:cs="Arial" w:eastAsia="Arial" w:hAnsi="Arial"/>
          <w:color w:val="212121"/>
          <w:sz w:val="20"/>
          <w:szCs w:val="20"/>
        </w:rPr>
        <w:t xml:space="preserve">Example view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CREATE OR REPLACE VIEW catalog.schema.vw_loan_participation_combined AS</w:t>
            </w:r>
          </w:p>
          <w:p>
            <w:pPr>
              <w:spacing w:after="20" w:before="20"/>
            </w:pPr>
            <w:r>
              <w:rPr>
                <w:rFonts w:ascii="Courier New" w:cs="Courier New" w:eastAsia="Courier New" w:hAnsi="Courier New"/>
                <w:color w:val="1A1A1A"/>
                <w:sz w:val="18"/>
                <w:szCs w:val="18"/>
              </w:rPr>
              <w:t xml:space="preserve">SELECT</w:t>
            </w:r>
          </w:p>
          <w:p>
            <w:pPr>
              <w:spacing w:after="20" w:before="20"/>
            </w:pPr>
            <w:r>
              <w:rPr>
                <w:rFonts w:ascii="Courier New" w:cs="Courier New" w:eastAsia="Courier New" w:hAnsi="Courier New"/>
                <w:color w:val="1A1A1A"/>
                <w:sz w:val="18"/>
                <w:szCs w:val="18"/>
              </w:rPr>
              <w:t xml:space="preserve">    l.LoanId,</w:t>
            </w:r>
          </w:p>
          <w:p>
            <w:pPr>
              <w:spacing w:after="20" w:before="20"/>
            </w:pPr>
            <w:r>
              <w:rPr>
                <w:rFonts w:ascii="Courier New" w:cs="Courier New" w:eastAsia="Courier New" w:hAnsi="Courier New"/>
                <w:color w:val="1A1A1A"/>
                <w:sz w:val="18"/>
                <w:szCs w:val="18"/>
              </w:rPr>
              <w:t xml:space="preserve">    COALESCE(p.CommitCurrent,    l.CommitCurrent)    AS CommitCurrent,</w:t>
            </w:r>
          </w:p>
          <w:p>
            <w:pPr>
              <w:spacing w:after="20" w:before="20"/>
            </w:pPr>
            <w:r>
              <w:rPr>
                <w:rFonts w:ascii="Courier New" w:cs="Courier New" w:eastAsia="Courier New" w:hAnsi="Courier New"/>
                <w:color w:val="1A1A1A"/>
                <w:sz w:val="18"/>
                <w:szCs w:val="18"/>
              </w:rPr>
              <w:t xml:space="preserve">    COALESCE(p.ParticipationType,l.ParticipationType) AS ParticipationType,</w:t>
            </w:r>
          </w:p>
          <w:p>
            <w:pPr>
              <w:spacing w:after="20" w:before="20"/>
            </w:pPr>
            <w:r>
              <w:rPr>
                <w:rFonts w:ascii="Courier New" w:cs="Courier New" w:eastAsia="Courier New" w:hAnsi="Courier New"/>
                <w:color w:val="1A1A1A"/>
                <w:sz w:val="18"/>
                <w:szCs w:val="18"/>
              </w:rPr>
              <w:t xml:space="preserve">    COALESCE(p.PdRating,         l.PdRating)         AS PdRating,</w:t>
            </w:r>
          </w:p>
          <w:p>
            <w:pPr>
              <w:spacing w:after="20" w:before="20"/>
            </w:pPr>
            <w:r>
              <w:rPr>
                <w:rFonts w:ascii="Courier New" w:cs="Courier New" w:eastAsia="Courier New" w:hAnsi="Courier New"/>
                <w:color w:val="1A1A1A"/>
                <w:sz w:val="18"/>
                <w:szCs w:val="18"/>
              </w:rPr>
              <w:t xml:space="preserve">    COALESCE(p.AcceptableVol,    l.AcceptableVol)    AS AcceptableVol,</w:t>
            </w:r>
          </w:p>
          <w:p>
            <w:pPr>
              <w:spacing w:after="20" w:before="20"/>
            </w:pPr>
            <w:r>
              <w:rPr>
                <w:rFonts w:ascii="Courier New" w:cs="Courier New" w:eastAsia="Courier New" w:hAnsi="Courier New"/>
                <w:color w:val="1A1A1A"/>
                <w:sz w:val="18"/>
                <w:szCs w:val="18"/>
              </w:rPr>
              <w:t xml:space="preserve">    COALESCE(p.PurSyndAssign,    l.PurSyndAssign)    AS PurSyndAssign,</w:t>
            </w:r>
          </w:p>
          <w:p>
            <w:pPr>
              <w:spacing w:after="20" w:before="20"/>
            </w:pPr>
            <w:r>
              <w:rPr>
                <w:rFonts w:ascii="Courier New" w:cs="Courier New" w:eastAsia="Courier New" w:hAnsi="Courier New"/>
                <w:color w:val="1A1A1A"/>
                <w:sz w:val="18"/>
                <w:szCs w:val="18"/>
              </w:rPr>
              <w:t xml:space="preserve">    pt.Description AS ParticipationTypeDescription</w:t>
            </w:r>
          </w:p>
          <w:p>
            <w:pPr>
              <w:spacing w:after="20" w:before="20"/>
            </w:pPr>
            <w:r>
              <w:rPr>
                <w:rFonts w:ascii="Courier New" w:cs="Courier New" w:eastAsia="Courier New" w:hAnsi="Courier New"/>
                <w:color w:val="1A1A1A"/>
                <w:sz w:val="18"/>
                <w:szCs w:val="18"/>
              </w:rPr>
              <w:t xml:space="preserve">FROM genie_loan l</w:t>
            </w:r>
          </w:p>
          <w:p>
            <w:pPr>
              <w:spacing w:after="20" w:before="20"/>
            </w:pPr>
            <w:r>
              <w:rPr>
                <w:rFonts w:ascii="Courier New" w:cs="Courier New" w:eastAsia="Courier New" w:hAnsi="Courier New"/>
                <w:color w:val="1A1A1A"/>
                <w:sz w:val="18"/>
                <w:szCs w:val="18"/>
              </w:rPr>
              <w:t xml:space="preserve">LEFT JOIN genie_participation p</w:t>
            </w:r>
          </w:p>
          <w:p>
            <w:pPr>
              <w:spacing w:after="20" w:before="20"/>
            </w:pPr>
            <w:r>
              <w:rPr>
                <w:rFonts w:ascii="Courier New" w:cs="Courier New" w:eastAsia="Courier New" w:hAnsi="Courier New"/>
                <w:color w:val="1A1A1A"/>
                <w:sz w:val="18"/>
                <w:szCs w:val="18"/>
              </w:rPr>
              <w:t xml:space="preserve">    ON l.LoanId = p.LoanId</w:t>
            </w:r>
          </w:p>
          <w:p>
            <w:pPr>
              <w:spacing w:after="20" w:before="20"/>
            </w:pPr>
            <w:r>
              <w:rPr>
                <w:rFonts w:ascii="Courier New" w:cs="Courier New" w:eastAsia="Courier New" w:hAnsi="Courier New"/>
                <w:color w:val="1A1A1A"/>
                <w:sz w:val="18"/>
                <w:szCs w:val="18"/>
              </w:rPr>
              <w:t xml:space="preserve">LEFT JOIN genie_participation_type_lkp pt</w:t>
            </w:r>
          </w:p>
          <w:p>
            <w:pPr>
              <w:spacing w:after="20" w:before="20"/>
            </w:pPr>
            <w:r>
              <w:rPr>
                <w:rFonts w:ascii="Courier New" w:cs="Courier New" w:eastAsia="Courier New" w:hAnsi="Courier New"/>
                <w:color w:val="1A1A1A"/>
                <w:sz w:val="18"/>
                <w:szCs w:val="18"/>
              </w:rPr>
              <w:t xml:space="preserve">    ON COALESCE(p.ParticipationType, l.ParticipationType) = pt.Code</w:t>
            </w:r>
          </w:p>
          <w:p>
            <w:pPr>
              <w:spacing w:after="20" w:before="20"/>
            </w:pPr>
            <w:r>
              <w:rPr>
                <w:rFonts w:ascii="Courier New" w:cs="Courier New" w:eastAsia="Courier New" w:hAnsi="Courier New"/>
                <w:color w:val="1A1A1A"/>
                <w:sz w:val="18"/>
                <w:szCs w:val="18"/>
              </w:rPr>
              <w:t xml:space="preserve">WHERE l.AsOfDate &gt;= '2018-12-31';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Add a Unity Catalog table comment explaining the view's purpose</w:t>
            </w:r>
          </w:p>
          <w:p>
            <w:pPr>
              <w:spacing w:after="20" w:before="20"/>
            </w:pPr>
            <w:r>
              <w:rPr>
                <w:rFonts w:ascii="Courier New" w:cs="Courier New" w:eastAsia="Courier New" w:hAnsi="Courier New"/>
                <w:color w:val="1A1A1A"/>
                <w:sz w:val="18"/>
                <w:szCs w:val="18"/>
              </w:rPr>
              <w:t xml:space="preserve">-- and the COALESCE priority to guide future maintainers.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E0" w:val="clear"/>
            <w:tcMar>
              <w:top w:type="dxa" w:w="120"/>
              <w:left w:type="dxa" w:w="180"/>
              <w:bottom w:type="dxa" w:w="120"/>
              <w:right w:type="dxa" w:w="180"/>
            </w:tcMar>
          </w:tcPr>
          <w:p>
            <w:pPr>
              <w:spacing w:after="60" w:before="60"/>
            </w:pPr>
            <w:r>
              <w:rPr>
                <w:rFonts w:ascii="Arial" w:cs="Arial" w:eastAsia="Arial" w:hAnsi="Arial"/>
                <w:b/>
                <w:bCs/>
                <w:color w:val="7D4A00"/>
                <w:sz w:val="20"/>
                <w:szCs w:val="20"/>
              </w:rPr>
              <w:t xml:space="preserve">Option 2: Example SQL Query — if the view is not immediately feasible</w:t>
            </w:r>
          </w:p>
        </w:tc>
      </w:tr>
    </w:tbl>
    <w:p>
      <w:pPr>
        <w:spacing w:after="0" w:before="40"/>
      </w:pPr>
      <w:r>
        <w:t xml:space="preserve"/>
      </w:r>
    </w:p>
    <w:p>
      <w:pPr>
        <w:spacing w:after="60" w:before="60"/>
      </w:pPr>
      <w:r>
        <w:rPr>
          <w:rFonts w:ascii="Arial" w:cs="Arial" w:eastAsia="Arial" w:hAnsi="Arial"/>
          <w:color w:val="212121"/>
          <w:sz w:val="20"/>
          <w:szCs w:val="20"/>
        </w:rPr>
        <w:t xml:space="preserve">If a gold view cannot be created right away, provide a verified, complete example SQL query inside the Genie space labelled clearly (e.g. 'Show participation data for a loan'). A concrete SQL example directly demonstrates the LEFT JOIN and COALESCE pattern in a form Genie can reliably replicate, rather than reconstructing it from prose. This is still far more reliable than a text instruction.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0" w:val="clear"/>
            <w:tcMar>
              <w:top w:type="dxa" w:w="120"/>
              <w:left w:type="dxa" w:w="180"/>
              <w:bottom w:type="dxa" w:w="120"/>
              <w:right w:type="dxa" w:w="180"/>
            </w:tcMar>
          </w:tcPr>
          <w:p>
            <w:pPr>
              <w:spacing w:after="60" w:before="60"/>
            </w:pPr>
            <w:r>
              <w:rPr>
                <w:rFonts w:ascii="Arial" w:cs="Arial" w:eastAsia="Arial" w:hAnsi="Arial"/>
                <w:b/>
                <w:bCs/>
                <w:color w:val="1A3F6B"/>
                <w:sz w:val="20"/>
                <w:szCs w:val="20"/>
              </w:rPr>
              <w:t xml:space="preserve">Option 3: Join Relationships + SQL Dimension Expressions — for partial coverage</w:t>
            </w:r>
          </w:p>
        </w:tc>
      </w:tr>
    </w:tbl>
    <w:p>
      <w:pPr>
        <w:spacing w:after="0" w:before="40"/>
      </w:pPr>
      <w:r>
        <w:t xml:space="preserve"/>
      </w:r>
    </w:p>
    <w:p>
      <w:pPr>
        <w:spacing w:after="60" w:before="60"/>
      </w:pPr>
      <w:r>
        <w:rPr>
          <w:rFonts w:ascii="Arial" w:cs="Arial" w:eastAsia="Arial" w:hAnsi="Arial"/>
          <w:color w:val="212121"/>
          <w:sz w:val="20"/>
          <w:szCs w:val="20"/>
        </w:rPr>
        <w:t xml:space="preserve">If neither of the above is feasible in the short term, decompose the instruction into proper knowledge store components:</w:t>
      </w:r>
    </w:p>
    <w:p>
      <w:pPr>
        <w:pStyle w:val="ListParagraph"/>
        <w:numPr>
          <w:ilvl w:val="0"/>
          <w:numId w:val="2"/>
        </w:numPr>
        <w:spacing w:after="40" w:before="40"/>
      </w:pPr>
      <w:r>
        <w:rPr>
          <w:rFonts w:ascii="Arial" w:cs="Arial" w:eastAsia="Arial" w:hAnsi="Arial"/>
          <w:color w:val="212121"/>
          <w:sz w:val="20"/>
          <w:szCs w:val="20"/>
        </w:rPr>
        <w:t xml:space="preserve">Define the LoanId join relationship explicitly in the knowledge store, including the one-to-many cardinality and the LEFT (outer) join intent.</w:t>
      </w:r>
    </w:p>
    <w:p>
      <w:pPr>
        <w:pStyle w:val="ListParagraph"/>
        <w:numPr>
          <w:ilvl w:val="0"/>
          <w:numId w:val="2"/>
        </w:numPr>
        <w:spacing w:after="40" w:before="40"/>
      </w:pPr>
      <w:r>
        <w:rPr>
          <w:rFonts w:ascii="Arial" w:cs="Arial" w:eastAsia="Arial" w:hAnsi="Arial"/>
          <w:color w:val="212121"/>
          <w:sz w:val="20"/>
          <w:szCs w:val="20"/>
        </w:rPr>
        <w:t xml:space="preserve">Define each COALESCE column (CommitCurrent, PdRating, etc.) as a SQL Dimension Expression with synonyms matching business terminology.</w:t>
      </w:r>
    </w:p>
    <w:p>
      <w:pPr>
        <w:pStyle w:val="ListParagraph"/>
        <w:numPr>
          <w:ilvl w:val="0"/>
          <w:numId w:val="2"/>
        </w:numPr>
        <w:spacing w:after="40" w:before="40"/>
      </w:pPr>
      <w:r>
        <w:rPr>
          <w:rFonts w:ascii="Arial" w:cs="Arial" w:eastAsia="Arial" w:hAnsi="Arial"/>
          <w:color w:val="212121"/>
          <w:sz w:val="20"/>
          <w:szCs w:val="20"/>
        </w:rPr>
        <w:t xml:space="preserve">Define the date boundary as a SQL Filter Expression.</w:t>
      </w:r>
    </w:p>
    <w:p>
      <w:pPr>
        <w:spacing w:after="0" w:before="40"/>
      </w:pPr>
      <w:r>
        <w:t xml:space="preserve"/>
      </w:r>
    </w:p>
    <w:p>
      <w:pPr>
        <w:spacing w:after="60" w:before="60"/>
      </w:pPr>
      <w:r>
        <w:rPr>
          <w:rFonts w:ascii="Arial" w:cs="Arial" w:eastAsia="Arial" w:hAnsi="Arial"/>
          <w:color w:val="212121"/>
          <w:sz w:val="20"/>
          <w:szCs w:val="20"/>
        </w:rPr>
        <w:t xml:space="preserve">Note: this option still leaves Genie responsible for assembling the pieces correctly at query time. Options 1 and 2 are significantly more reliable.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ECEA" w:val="clear"/>
            <w:tcMar>
              <w:top w:type="dxa" w:w="120"/>
              <w:left w:type="dxa" w:w="180"/>
              <w:bottom w:type="dxa" w:w="120"/>
              <w:right w:type="dxa" w:w="180"/>
            </w:tcMar>
          </w:tcPr>
          <w:p>
            <w:pPr>
              <w:spacing w:after="60" w:before="60"/>
            </w:pPr>
            <w:r>
              <w:rPr>
                <w:rFonts w:ascii="Arial" w:cs="Arial" w:eastAsia="Arial" w:hAnsi="Arial"/>
                <w:b/>
                <w:bCs/>
                <w:color w:val="7B1A1A"/>
                <w:sz w:val="20"/>
                <w:szCs w:val="20"/>
              </w:rPr>
              <w:t xml:space="preserve">Text instruction (last resort): The one part that might belong here</w:t>
            </w:r>
          </w:p>
        </w:tc>
      </w:tr>
    </w:tbl>
    <w:p>
      <w:pPr>
        <w:spacing w:after="0" w:before="40"/>
      </w:pPr>
      <w:r>
        <w:t xml:space="preserve"/>
      </w:r>
    </w:p>
    <w:p>
      <w:pPr>
        <w:spacing w:after="60" w:before="60"/>
      </w:pPr>
      <w:r>
        <w:rPr>
          <w:rFonts w:ascii="Arial" w:cs="Arial" w:eastAsia="Arial" w:hAnsi="Arial"/>
          <w:color w:val="212121"/>
          <w:sz w:val="20"/>
          <w:szCs w:val="20"/>
        </w:rPr>
        <w:t xml:space="preserve">If a text instruction is kept at all, it should contain only guidance that genuinely cannot be expressed in SQL — for example, a clarification prompt: 'When a user asks about participation data without specifying a date range, ask them to clarify the time period.' The join logic, COALESCE logic, and date boundary should never appear in a text instruction.</w:t>
      </w:r>
    </w:p>
    <w:p>
      <w:pPr>
        <w:spacing w:after="0" w:before="160"/>
      </w:pPr>
      <w:r>
        <w:t xml:space="preserve"/>
      </w:r>
    </w:p>
    <w:p>
      <w:pPr>
        <w:pStyle w:val="Heading1"/>
        <w:pBdr>
          <w:bottom w:val="single" w:color="1F5C99" w:sz="6" w:space="4"/>
        </w:pBdr>
        <w:spacing w:after="160" w:before="320"/>
      </w:pPr>
      <w:r>
        <w:rPr>
          <w:rFonts w:ascii="Arial" w:cs="Arial" w:eastAsia="Arial" w:hAnsi="Arial"/>
          <w:b/>
          <w:bCs/>
          <w:color w:val="1F5C99"/>
          <w:sz w:val="32"/>
          <w:szCs w:val="32"/>
        </w:rPr>
        <w:t xml:space="preserve">Summary</w:t>
      </w:r>
    </w:p>
    <w:p>
      <w:pPr>
        <w:spacing w:after="60" w:before="60"/>
      </w:pPr>
      <w:r>
        <w:rPr>
          <w:rFonts w:ascii="Arial" w:cs="Arial" w:eastAsia="Arial" w:hAnsi="Arial"/>
          <w:color w:val="212121"/>
          <w:sz w:val="20"/>
          <w:szCs w:val="20"/>
        </w:rPr>
        <w:t xml:space="preserve">The table below maps each component of the original instruction to its recommended replacement.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0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Current Approach</w:t>
            </w:r>
          </w:p>
        </w:tc>
        <w:tc>
          <w:tcPr>
            <w:tcW w:type="dxa" w:w="39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Recommended Approach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LEFT JOIN logic</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Text instruction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6B1A"/>
                <w:sz w:val="18"/>
                <w:szCs w:val="18"/>
              </w:rPr>
              <w:t xml:space="preserve">Gold view or Example SQL</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COALESCE on 5 columns</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C0392B"/>
                <w:sz w:val="18"/>
                <w:szCs w:val="18"/>
              </w:rPr>
              <w:t xml:space="preserve">Text instruction</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6B1A"/>
                <w:sz w:val="18"/>
                <w:szCs w:val="18"/>
              </w:rPr>
              <w:t xml:space="preserve">Gold view or SQL Dimension Expressions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Lookup table join condition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Text instruction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6B1A"/>
                <w:sz w:val="18"/>
                <w:szCs w:val="18"/>
              </w:rPr>
              <w:t xml:space="preserve">Join Relationship + Example SQL</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 boundary (12/31/2018)</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C0392B"/>
                <w:sz w:val="18"/>
                <w:szCs w:val="18"/>
              </w:rPr>
              <w:t xml:space="preserve">Text instruction</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6B1A"/>
                <w:sz w:val="18"/>
                <w:szCs w:val="18"/>
              </w:rPr>
              <w:t xml:space="preserve">SQL Filter Expression or view predicate</w:t>
            </w:r>
          </w:p>
        </w:tc>
      </w:tr>
    </w:tbl>
    <w:p>
      <w:pPr>
        <w:spacing w:after="0" w:before="160"/>
      </w:pPr>
      <w:r>
        <w:t xml:space="preserve"/>
      </w:r>
    </w:p>
    <w:p>
      <w:pPr>
        <w:pStyle w:val="Heading1"/>
        <w:pBdr>
          <w:bottom w:val="single" w:color="1F5C99" w:sz="6" w:space="4"/>
        </w:pBdr>
        <w:spacing w:after="160" w:before="320"/>
      </w:pPr>
      <w:r>
        <w:rPr>
          <w:rFonts w:ascii="Arial" w:cs="Arial" w:eastAsia="Arial" w:hAnsi="Arial"/>
          <w:b/>
          <w:bCs/>
          <w:color w:val="1F5C99"/>
          <w:sz w:val="32"/>
          <w:szCs w:val="32"/>
        </w:rPr>
        <w:t xml:space="preserve">Key Takeaway for the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0" w:val="clear"/>
            <w:tcMar>
              <w:top w:type="dxa" w:w="120"/>
              <w:left w:type="dxa" w:w="180"/>
              <w:bottom w:type="dxa" w:w="120"/>
              <w:right w:type="dxa" w:w="180"/>
            </w:tcMar>
          </w:tcPr>
          <w:p>
            <w:pPr>
              <w:spacing w:after="60" w:before="60"/>
            </w:pPr>
            <w:r>
              <w:rPr>
                <w:rFonts w:ascii="Arial" w:cs="Arial" w:eastAsia="Arial" w:hAnsi="Arial"/>
                <w:b/>
                <w:bCs/>
                <w:color w:val="1F5C99"/>
                <w:sz w:val="20"/>
                <w:szCs w:val="20"/>
              </w:rPr>
              <w:t xml:space="preserve">Rule of thumb: if you find yourself writing SQL in a text instruction, stop.</w:t>
            </w:r>
          </w:p>
          <w:p>
            <w:pPr>
              <w:spacing w:after="40" w:before="40"/>
            </w:pPr>
            <w:r>
              <w:rPr>
                <w:rFonts w:ascii="Arial" w:cs="Arial" w:eastAsia="Arial" w:hAnsi="Arial"/>
                <w:color w:val="212121"/>
                <w:sz w:val="19"/>
                <w:szCs w:val="19"/>
              </w:rPr>
              <w:t xml:space="preserve">That is always a signal to step back and ask:</w:t>
            </w:r>
          </w:p>
          <w:p>
            <w:pPr>
              <w:spacing w:after="40" w:before="40"/>
            </w:pPr>
            <w:r>
              <w:rPr>
                <w:rFonts w:ascii="Arial" w:cs="Arial" w:eastAsia="Arial" w:hAnsi="Arial"/>
                <w:color w:val="212121"/>
                <w:sz w:val="19"/>
                <w:szCs w:val="19"/>
              </w:rPr>
              <w:t xml:space="preserve">  1.  Can the data be pre-joined or simplified into a view? (Preferred)</w:t>
            </w:r>
          </w:p>
          <w:p>
            <w:pPr>
              <w:spacing w:after="40" w:before="40"/>
            </w:pPr>
            <w:r>
              <w:rPr>
                <w:rFonts w:ascii="Arial" w:cs="Arial" w:eastAsia="Arial" w:hAnsi="Arial"/>
                <w:color w:val="212121"/>
                <w:sz w:val="19"/>
                <w:szCs w:val="19"/>
              </w:rPr>
              <w:t xml:space="preserve">  2.  Can I show Genie an example SQL query instead?</w:t>
            </w:r>
          </w:p>
          <w:p>
            <w:pPr>
              <w:spacing w:after="40" w:before="40"/>
            </w:pPr>
            <w:r>
              <w:rPr>
                <w:rFonts w:ascii="Arial" w:cs="Arial" w:eastAsia="Arial" w:hAnsi="Arial"/>
                <w:color w:val="212121"/>
                <w:sz w:val="19"/>
                <w:szCs w:val="19"/>
              </w:rPr>
              <w:t xml:space="preserve">  3.  Can I define the business logic as a SQL expression in the knowledge store?</w:t>
            </w:r>
          </w:p>
          <w:p>
            <w:pPr>
              <w:spacing w:after="40" w:before="40"/>
            </w:pPr>
            <w:r>
              <w:rPr>
                <w:rFonts w:ascii="Arial" w:cs="Arial" w:eastAsia="Arial" w:hAnsi="Arial"/>
                <w:color w:val="212121"/>
                <w:sz w:val="19"/>
                <w:szCs w:val="19"/>
              </w:rPr>
              <w:t xml:space="preserve"/>
            </w:r>
          </w:p>
          <w:p>
            <w:pPr>
              <w:spacing w:after="40" w:before="40"/>
            </w:pPr>
            <w:r>
              <w:rPr>
                <w:rFonts w:ascii="Arial" w:cs="Arial" w:eastAsia="Arial" w:hAnsi="Arial"/>
                <w:color w:val="212121"/>
                <w:sz w:val="19"/>
                <w:szCs w:val="19"/>
              </w:rPr>
              <w:t xml:space="preserve">Text instructions are for natural language guidance only — clarification prompts,</w:t>
            </w:r>
          </w:p>
          <w:p>
            <w:pPr>
              <w:spacing w:after="40" w:before="40"/>
            </w:pPr>
            <w:r>
              <w:rPr>
                <w:rFonts w:ascii="Arial" w:cs="Arial" w:eastAsia="Arial" w:hAnsi="Arial"/>
                <w:color w:val="212121"/>
                <w:sz w:val="19"/>
                <w:szCs w:val="19"/>
              </w:rPr>
              <w:t xml:space="preserve">formatting rules, and business jargon mappings. They are the last resort, not</w:t>
            </w:r>
          </w:p>
          <w:p>
            <w:pPr>
              <w:spacing w:after="40" w:before="40"/>
            </w:pPr>
            <w:r>
              <w:rPr>
                <w:rFonts w:ascii="Arial" w:cs="Arial" w:eastAsia="Arial" w:hAnsi="Arial"/>
                <w:color w:val="212121"/>
                <w:sz w:val="19"/>
                <w:szCs w:val="19"/>
              </w:rPr>
              <w:t xml:space="preserve">the first tool to reach for.</w:t>
            </w:r>
          </w:p>
        </w:tc>
      </w:tr>
    </w:tbl>
    <w:p>
      <w:pPr>
        <w:spacing w:after="0" w:before="80"/>
      </w:pPr>
      <w:r>
        <w:t xml:space="preserve"/>
      </w:r>
    </w:p>
    <w:p>
      <w:pPr>
        <w:spacing w:after="60" w:before="60"/>
      </w:pPr>
      <w:r>
        <w:rPr>
          <w:rFonts w:ascii="Arial" w:cs="Arial" w:eastAsia="Arial" w:hAnsi="Arial"/>
          <w:i/>
          <w:iCs/>
          <w:color w:val="212121"/>
          <w:sz w:val="20"/>
          <w:szCs w:val="20"/>
        </w:rPr>
        <w:t xml:space="preserve">Curators who understand the data well are the most effective Genie space builders. That expertise should be encoded in SQL and data models — not locked inside a text paragraph that Genie may deprioritise or misinterpret as conversations grow longer.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Genie Space Design Learning Note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5C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2026-05-22T18:53:00.498Z</dcterms:created>
  <dcterms:modified xsi:type="dcterms:W3CDTF">2026-05-22T18:53:00.498Z</dcterms:modified>
</cp:coreProperties>
</file>

<file path=docProps/custom.xml><?xml version="1.0" encoding="utf-8"?>
<Properties xmlns="http://schemas.openxmlformats.org/officeDocument/2006/custom-properties" xmlns:vt="http://schemas.openxmlformats.org/officeDocument/2006/docPropsVTypes"/>
</file>