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5C99" w:val="clear"/>
            <w:tcMar>
              <w:top w:type="dxa" w:w="360"/>
              <w:left w:type="dxa" w:w="360"/>
              <w:bottom w:type="dxa" w:w="360"/>
              <w:right w:type="dxa" w:w="360"/>
            </w:tcMar>
          </w:tcPr>
          <w:p>
            <w:pPr>
              <w:spacing w:after="80" w:before="0"/>
            </w:pPr>
            <w:r>
              <w:rPr>
                <w:rFonts w:ascii="Arial" w:cs="Arial" w:eastAsia="Arial" w:hAnsi="Arial"/>
                <w:b/>
                <w:bCs/>
                <w:color w:val="FFFFFF"/>
                <w:sz w:val="42"/>
                <w:szCs w:val="42"/>
              </w:rPr>
              <w:t xml:space="preserve">Databricks Genie Space</w:t>
            </w:r>
          </w:p>
          <w:p>
            <w:pPr>
              <w:spacing w:after="160" w:before="0"/>
            </w:pPr>
            <w:r>
              <w:rPr>
                <w:rFonts w:ascii="Arial" w:cs="Arial" w:eastAsia="Arial" w:hAnsi="Arial"/>
                <w:color w:val="C8DCF0"/>
                <w:sz w:val="28"/>
                <w:szCs w:val="28"/>
              </w:rPr>
              <w:t xml:space="preserve">Best Practice Guide for Data Scientists</w:t>
            </w:r>
          </w:p>
          <w:p>
            <w:pPr>
              <w:spacing w:after="0" w:before="0"/>
            </w:pPr>
            <w:r>
              <w:rPr>
                <w:rFonts w:ascii="Arial" w:cs="Arial" w:eastAsia="Arial" w:hAnsi="Arial"/>
                <w:i/>
                <w:iCs/>
                <w:color w:val="C8DCF0"/>
                <w:sz w:val="20"/>
                <w:szCs w:val="20"/>
              </w:rPr>
              <w:t xml:space="preserve">How to scope, engineer, and curate a Genie space that business users can trust</w:t>
            </w:r>
          </w:p>
        </w:tc>
      </w:tr>
    </w:tbl>
    <w:p>
      <w:pPr>
        <w:spacing w:after="0" w:before="20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D6E4F0" w:val="clear"/>
            <w:tcMar>
              <w:top w:type="dxa" w:w="120"/>
              <w:left w:type="dxa" w:w="200"/>
              <w:bottom w:type="dxa" w:w="120"/>
              <w:right w:type="dxa" w:w="200"/>
            </w:tcMar>
          </w:tcPr>
          <w:p>
            <w:pPr>
              <w:spacing w:after="60" w:before="0"/>
            </w:pPr>
            <w:r>
              <w:rPr>
                <w:rFonts w:ascii="Arial" w:cs="Arial" w:eastAsia="Arial" w:hAnsi="Arial"/>
                <w:b/>
                <w:bCs/>
                <w:color w:val="1A3F6B"/>
                <w:sz w:val="20"/>
                <w:szCs w:val="20"/>
              </w:rPr>
              <w:t xml:space="preserve">How to use this guide</w:t>
            </w:r>
          </w:p>
          <w:p>
            <w:pPr>
              <w:spacing w:after="60" w:before="60"/>
            </w:pPr>
            <w:r>
              <w:rPr>
                <w:rFonts w:ascii="Arial" w:cs="Arial" w:eastAsia="Arial" w:hAnsi="Arial"/>
                <w:color w:val="1A1A1A"/>
                <w:sz w:val="19"/>
                <w:szCs w:val="19"/>
              </w:rPr>
              <w:t xml:space="preserve">This guide walks through the five stages of building a Genie space in the order they should happen. Work through the stages in sequence — shortcuts taken early compound into problems that are expensive to fix later. Each section includes practical rules, decision tables, and clearly marked warnings based on real mistakes encountered on our first space.</w:t>
            </w:r>
          </w:p>
        </w:tc>
      </w:tr>
    </w:tbl>
    <w:p>
      <w:pPr>
        <w:spacing w:after="0" w:before="80"/>
      </w:pPr>
      <w:r>
        <w:rPr>
          <w:rFonts w:ascii="Arial" w:cs="Arial" w:eastAsia="Arial" w:hAnsi="Arial"/>
          <w:color w:val="1A1A1A"/>
          <w:sz w:val="20"/>
          <w:szCs w:val="20"/>
        </w:rPr>
        <w:t xml:space="preserve"/>
      </w:r>
    </w:p>
    <w:p>
      <w:pPr>
        <w:pStyle w:val="Heading2"/>
        <w:pBdr>
          <w:bottom w:val="single" w:color="D6E4F0" w:sz="4" w:space="3"/>
        </w:pBdr>
        <w:spacing w:after="100" w:before="320"/>
      </w:pPr>
      <w:r>
        <w:rPr>
          <w:rFonts w:ascii="Arial" w:cs="Arial" w:eastAsia="Arial" w:hAnsi="Arial"/>
          <w:b/>
          <w:bCs/>
          <w:color w:val="1F5C99"/>
          <w:sz w:val="24"/>
          <w:szCs w:val="24"/>
        </w:rPr>
        <w:t xml:space="preserve">Contents</w:t>
      </w:r>
    </w:p>
    <w:p>
      <w:pPr>
        <w:spacing w:after="60" w:before="60"/>
      </w:pPr>
      <w:r>
        <w:rPr>
          <w:rFonts w:ascii="Arial" w:cs="Arial" w:eastAsia="Arial" w:hAnsi="Arial"/>
          <w:b/>
          <w:bCs/>
          <w:color w:val="1F5C99"/>
          <w:sz w:val="20"/>
          <w:szCs w:val="20"/>
        </w:rPr>
        <w:t xml:space="preserve">1.  </w:t>
      </w:r>
      <w:r>
        <w:rPr>
          <w:rFonts w:ascii="Arial" w:cs="Arial" w:eastAsia="Arial" w:hAnsi="Arial"/>
          <w:b/>
          <w:bCs/>
          <w:color w:val="1A1A1A"/>
          <w:sz w:val="20"/>
          <w:szCs w:val="20"/>
        </w:rPr>
        <w:t xml:space="preserve">Scoping Your Space  </w:t>
      </w:r>
      <w:r>
        <w:rPr>
          <w:rFonts w:ascii="Arial" w:cs="Arial" w:eastAsia="Arial" w:hAnsi="Arial"/>
          <w:color w:val="555555"/>
          <w:sz w:val="18"/>
          <w:szCs w:val="18"/>
        </w:rPr>
        <w:t xml:space="preserve">— Define the audience, purpose, and question set before touching any data</w:t>
      </w:r>
    </w:p>
    <w:p>
      <w:pPr>
        <w:spacing w:after="60" w:before="60"/>
      </w:pPr>
      <w:r>
        <w:rPr>
          <w:rFonts w:ascii="Arial" w:cs="Arial" w:eastAsia="Arial" w:hAnsi="Arial"/>
          <w:b/>
          <w:bCs/>
          <w:color w:val="1F5C99"/>
          <w:sz w:val="20"/>
          <w:szCs w:val="20"/>
        </w:rPr>
        <w:t xml:space="preserve">2.  </w:t>
      </w:r>
      <w:r>
        <w:rPr>
          <w:rFonts w:ascii="Arial" w:cs="Arial" w:eastAsia="Arial" w:hAnsi="Arial"/>
          <w:b/>
          <w:bCs/>
          <w:color w:val="1A1A1A"/>
          <w:sz w:val="20"/>
          <w:szCs w:val="20"/>
        </w:rPr>
        <w:t xml:space="preserve">Data Engineering Before You Build  </w:t>
      </w:r>
      <w:r>
        <w:rPr>
          <w:rFonts w:ascii="Arial" w:cs="Arial" w:eastAsia="Arial" w:hAnsi="Arial"/>
          <w:color w:val="555555"/>
          <w:sz w:val="18"/>
          <w:szCs w:val="18"/>
        </w:rPr>
        <w:t xml:space="preserve">— Prepare gold views and metric views so Genie has the simplest possible data to work with</w:t>
      </w:r>
    </w:p>
    <w:p>
      <w:pPr>
        <w:spacing w:after="60" w:before="60"/>
      </w:pPr>
      <w:r>
        <w:rPr>
          <w:rFonts w:ascii="Arial" w:cs="Arial" w:eastAsia="Arial" w:hAnsi="Arial"/>
          <w:b/>
          <w:bCs/>
          <w:color w:val="1F5C99"/>
          <w:sz w:val="20"/>
          <w:szCs w:val="20"/>
        </w:rPr>
        <w:t xml:space="preserve">3.  </w:t>
      </w:r>
      <w:r>
        <w:rPr>
          <w:rFonts w:ascii="Arial" w:cs="Arial" w:eastAsia="Arial" w:hAnsi="Arial"/>
          <w:b/>
          <w:bCs/>
          <w:color w:val="1A1A1A"/>
          <w:sz w:val="20"/>
          <w:szCs w:val="20"/>
        </w:rPr>
        <w:t xml:space="preserve">Adding Data to the Space  </w:t>
      </w:r>
      <w:r>
        <w:rPr>
          <w:rFonts w:ascii="Arial" w:cs="Arial" w:eastAsia="Arial" w:hAnsi="Arial"/>
          <w:color w:val="555555"/>
          <w:sz w:val="18"/>
          <w:szCs w:val="18"/>
        </w:rPr>
        <w:t xml:space="preserve">— How to choose tables, annotate metadata, and configure prompt matching</w:t>
      </w:r>
    </w:p>
    <w:p>
      <w:pPr>
        <w:spacing w:after="60" w:before="60"/>
      </w:pPr>
      <w:r>
        <w:rPr>
          <w:rFonts w:ascii="Arial" w:cs="Arial" w:eastAsia="Arial" w:hAnsi="Arial"/>
          <w:b/>
          <w:bCs/>
          <w:color w:val="1F5C99"/>
          <w:sz w:val="20"/>
          <w:szCs w:val="20"/>
        </w:rPr>
        <w:t xml:space="preserve">4.  </w:t>
      </w:r>
      <w:r>
        <w:rPr>
          <w:rFonts w:ascii="Arial" w:cs="Arial" w:eastAsia="Arial" w:hAnsi="Arial"/>
          <w:b/>
          <w:bCs/>
          <w:color w:val="1A1A1A"/>
          <w:sz w:val="20"/>
          <w:szCs w:val="20"/>
        </w:rPr>
        <w:t xml:space="preserve">Building the Knowledge Store  </w:t>
      </w:r>
      <w:r>
        <w:rPr>
          <w:rFonts w:ascii="Arial" w:cs="Arial" w:eastAsia="Arial" w:hAnsi="Arial"/>
          <w:color w:val="555555"/>
          <w:sz w:val="18"/>
          <w:szCs w:val="18"/>
        </w:rPr>
        <w:t xml:space="preserve">— When to use joins, SQL expressions, example SQL, UC functions, trusted assets, and text instructions</w:t>
      </w:r>
    </w:p>
    <w:p>
      <w:pPr>
        <w:spacing w:after="60" w:before="60"/>
      </w:pPr>
      <w:r>
        <w:rPr>
          <w:rFonts w:ascii="Arial" w:cs="Arial" w:eastAsia="Arial" w:hAnsi="Arial"/>
          <w:b/>
          <w:bCs/>
          <w:color w:val="1F5C99"/>
          <w:sz w:val="20"/>
          <w:szCs w:val="20"/>
        </w:rPr>
        <w:t xml:space="preserve">5.  </w:t>
      </w:r>
      <w:r>
        <w:rPr>
          <w:rFonts w:ascii="Arial" w:cs="Arial" w:eastAsia="Arial" w:hAnsi="Arial"/>
          <w:b/>
          <w:bCs/>
          <w:color w:val="1A1A1A"/>
          <w:sz w:val="20"/>
          <w:szCs w:val="20"/>
        </w:rPr>
        <w:t xml:space="preserve">Testing, Iteration, and Growth  </w:t>
      </w:r>
      <w:r>
        <w:rPr>
          <w:rFonts w:ascii="Arial" w:cs="Arial" w:eastAsia="Arial" w:hAnsi="Arial"/>
          <w:color w:val="555555"/>
          <w:sz w:val="18"/>
          <w:szCs w:val="18"/>
        </w:rPr>
        <w:t xml:space="preserve">— How to validate quality, gather feedback, and grow the space responsibly</w:t>
      </w:r>
    </w:p>
    <w:p>
      <w:pPr>
        <w:spacing w:after="0" w:before="80"/>
      </w:pPr>
      <w:r>
        <w:rPr>
          <w:rFonts w:ascii="Arial" w:cs="Arial" w:eastAsia="Arial" w:hAnsi="Arial"/>
          <w:color w:val="1A1A1A"/>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5C99" w:val="clear"/>
            <w:tcMar>
              <w:top w:type="dxa" w:w="160"/>
              <w:left w:type="dxa" w:w="240"/>
              <w:bottom w:type="dxa" w:w="160"/>
              <w:right w:type="dxa" w:w="240"/>
            </w:tcMar>
          </w:tcPr>
          <w:p>
            <w:pPr>
              <w:spacing w:after="60" w:before="0"/>
            </w:pPr>
            <w:r>
              <w:rPr>
                <w:rFonts w:ascii="Arial" w:cs="Arial" w:eastAsia="Arial" w:hAnsi="Arial"/>
                <w:b/>
                <w:bCs/>
                <w:color w:val="C8DCF0"/>
                <w:sz w:val="28"/>
                <w:szCs w:val="28"/>
              </w:rPr>
              <w:t xml:space="preserve">1  </w:t>
            </w:r>
            <w:r>
              <w:rPr>
                <w:rFonts w:ascii="Arial" w:cs="Arial" w:eastAsia="Arial" w:hAnsi="Arial"/>
                <w:b/>
                <w:bCs/>
                <w:color w:val="FFFFFF"/>
                <w:sz w:val="28"/>
                <w:szCs w:val="28"/>
              </w:rPr>
              <w:t xml:space="preserve">Scoping Your Space</w:t>
            </w:r>
          </w:p>
          <w:p>
            <w:pPr>
              <w:spacing w:after="0" w:before="0"/>
            </w:pPr>
            <w:r>
              <w:rPr>
                <w:rFonts w:ascii="Arial" w:cs="Arial" w:eastAsia="Arial" w:hAnsi="Arial"/>
                <w:i/>
                <w:iCs/>
                <w:color w:val="C8DCF0"/>
                <w:sz w:val="18"/>
                <w:szCs w:val="18"/>
              </w:rPr>
              <w:t xml:space="preserve">Define audience, purpose, and questions before touching any data</w:t>
            </w:r>
          </w:p>
        </w:tc>
      </w:tr>
    </w:tbl>
    <w:p>
      <w:pPr>
        <w:spacing w:after="0" w:before="80"/>
      </w:pPr>
      <w:r>
        <w:rPr>
          <w:rFonts w:ascii="Arial" w:cs="Arial" w:eastAsia="Arial" w:hAnsi="Arial"/>
          <w:color w:val="1A1A1A"/>
          <w:sz w:val="20"/>
          <w:szCs w:val="20"/>
        </w:rPr>
        <w:t xml:space="preserve"/>
      </w:r>
    </w:p>
    <w:p>
      <w:pPr>
        <w:spacing w:after="60" w:before="60"/>
      </w:pPr>
      <w:r>
        <w:rPr>
          <w:rFonts w:ascii="Arial" w:cs="Arial" w:eastAsia="Arial" w:hAnsi="Arial"/>
          <w:color w:val="1A1A1A"/>
          <w:sz w:val="20"/>
          <w:szCs w:val="20"/>
        </w:rPr>
        <w:t xml:space="preserve">The single most common cause of a failed Genie space is starting without a scope. A space that tries to answer every possible business question will answer none of them reliably. Scope is not a limitation — it is what makes accuracy possible.</w:t>
      </w:r>
    </w:p>
    <w:p>
      <w:pPr>
        <w:spacing w:after="0" w:before="40"/>
      </w:pPr>
      <w:r>
        <w:rPr>
          <w:rFonts w:ascii="Arial" w:cs="Arial" w:eastAsia="Arial" w:hAnsi="Arial"/>
          <w:color w:val="1A1A1A"/>
          <w:sz w:val="20"/>
          <w:szCs w:val="20"/>
        </w:rPr>
        <w:t xml:space="preserve"/>
      </w:r>
    </w:p>
    <w:p>
      <w:pPr>
        <w:pStyle w:val="Heading2"/>
        <w:pBdr>
          <w:bottom w:val="single" w:color="D6E4F0" w:sz="4" w:space="3"/>
        </w:pBdr>
        <w:spacing w:after="100" w:before="320"/>
      </w:pPr>
      <w:r>
        <w:rPr>
          <w:rFonts w:ascii="Arial" w:cs="Arial" w:eastAsia="Arial" w:hAnsi="Arial"/>
          <w:b/>
          <w:bCs/>
          <w:color w:val="1F5C99"/>
          <w:sz w:val="24"/>
          <w:szCs w:val="24"/>
        </w:rPr>
        <w:t xml:space="preserve">1.1  Define the audience and purpose first</w:t>
      </w:r>
    </w:p>
    <w:p>
      <w:pPr>
        <w:spacing w:after="60" w:before="60"/>
      </w:pPr>
      <w:r>
        <w:rPr>
          <w:rFonts w:ascii="Arial" w:cs="Arial" w:eastAsia="Arial" w:hAnsi="Arial"/>
          <w:color w:val="1A1A1A"/>
          <w:sz w:val="20"/>
          <w:szCs w:val="20"/>
        </w:rPr>
        <w:t xml:space="preserve">Before selecting a single table, answer these three questions in writing. Share the answers with a business stakeholder and get their sign-off before proceeding.</w:t>
      </w:r>
    </w:p>
    <w:p>
      <w:pPr>
        <w:spacing w:after="0" w:before="4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1F5C99" w:val="clear"/>
            <w:tcMar>
              <w:top w:type="dxa" w:w="80"/>
              <w:left w:type="dxa" w:w="120"/>
              <w:bottom w:type="dxa" w:w="80"/>
              <w:right w:type="dxa" w:w="120"/>
            </w:tcMar>
          </w:tcPr>
          <w:p>
            <w:pPr>
              <w:spacing w:after="60" w:before="60"/>
            </w:pPr>
            <w:r>
              <w:rPr>
                <w:rFonts w:ascii="Arial" w:cs="Arial" w:eastAsia="Arial" w:hAnsi="Arial"/>
                <w:b/>
                <w:bCs/>
                <w:color w:val="FFFFFF"/>
                <w:sz w:val="18"/>
                <w:szCs w:val="18"/>
              </w:rPr>
              <w:t xml:space="preserve">Question to answer before you start</w:t>
            </w:r>
          </w:p>
        </w:tc>
        <w:tc>
          <w:tcPr>
            <w:tcW w:type="dxa" w:w="6560"/>
            <w:tcBorders>
              <w:top w:val="single" w:color="DDDDDD" w:sz="1"/>
              <w:left w:val="single" w:color="DDDDDD" w:sz="1"/>
              <w:bottom w:val="single" w:color="DDDDDD" w:sz="1"/>
              <w:right w:val="single" w:color="DDDDDD" w:sz="1"/>
            </w:tcBorders>
            <w:shd w:fill="1F5C99" w:val="clear"/>
            <w:tcMar>
              <w:top w:type="dxa" w:w="80"/>
              <w:left w:type="dxa" w:w="120"/>
              <w:bottom w:type="dxa" w:w="80"/>
              <w:right w:type="dxa" w:w="120"/>
            </w:tcMar>
          </w:tcPr>
          <w:p>
            <w:pPr>
              <w:spacing w:after="60" w:before="60"/>
            </w:pPr>
            <w:r>
              <w:rPr>
                <w:rFonts w:ascii="Arial" w:cs="Arial" w:eastAsia="Arial" w:hAnsi="Arial"/>
                <w:b/>
                <w:bCs/>
                <w:color w:val="FFFFFF"/>
                <w:sz w:val="18"/>
                <w:szCs w:val="18"/>
              </w:rPr>
              <w:t xml:space="preserve">Why it matters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Who is the primary user of this space?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Determines the vocabulary, the level of detail needed, and the questions most likely to be asked.</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What specific topic does this space cover?</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A space must have a single domain (e.g. loan portfolio performance, not 'everything in the data warehouse'). One domain per space.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What are the 10-15 most important questions this space must answer well?</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These become your benchmark test set. If the space cannot answer these reliably, it is not ready to share.</w:t>
            </w:r>
          </w:p>
        </w:tc>
      </w:tr>
    </w:tbl>
    <w:p>
      <w:pPr>
        <w:spacing w:after="0" w:before="1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B1A1A" w:sz="18"/>
              <w:bottom w:val="none" w:color="FFFFFF" w:sz="0"/>
              <w:right w:val="none" w:color="FFFFFF" w:sz="0"/>
            </w:tcBorders>
            <w:shd w:fill="FDECEA" w:val="clear"/>
            <w:tcMar>
              <w:top w:type="dxa" w:w="120"/>
              <w:left w:type="dxa" w:w="200"/>
              <w:bottom w:type="dxa" w:w="120"/>
              <w:right w:type="dxa" w:w="200"/>
            </w:tcMar>
          </w:tcPr>
          <w:p>
            <w:pPr>
              <w:spacing w:after="60" w:before="0"/>
            </w:pPr>
            <w:r>
              <w:rPr>
                <w:rFonts w:ascii="Arial" w:cs="Arial" w:eastAsia="Arial" w:hAnsi="Arial"/>
                <w:b/>
                <w:bCs/>
                <w:color w:val="7B1A1A"/>
                <w:sz w:val="20"/>
                <w:szCs w:val="20"/>
              </w:rPr>
              <w:t xml:space="preserve">⚠  Common Mistake to Avoid</w:t>
            </w:r>
          </w:p>
          <w:p>
            <w:pPr>
              <w:spacing w:after="60" w:before="60"/>
            </w:pPr>
            <w:r>
              <w:rPr>
                <w:rFonts w:ascii="Arial" w:cs="Arial" w:eastAsia="Arial" w:hAnsi="Arial"/>
                <w:color w:val="1A1A1A"/>
                <w:sz w:val="19"/>
                <w:szCs w:val="19"/>
              </w:rPr>
              <w:t xml:space="preserve">On our first space we skipped this step entirely. The result was 25 tables, no clear audience, and a space that tried to answer every possible question. Every question it failed on was patched with a text instruction, making the problem worse over time. Do not build until you can answer all three questions above.</w:t>
            </w:r>
          </w:p>
        </w:tc>
      </w:tr>
    </w:tbl>
    <w:p>
      <w:pPr>
        <w:spacing w:after="0" w:before="80"/>
      </w:pPr>
      <w:r>
        <w:rPr>
          <w:rFonts w:ascii="Arial" w:cs="Arial" w:eastAsia="Arial" w:hAnsi="Arial"/>
          <w:color w:val="1A1A1A"/>
          <w:sz w:val="20"/>
          <w:szCs w:val="20"/>
        </w:rPr>
        <w:t xml:space="preserve"/>
      </w:r>
    </w:p>
    <w:p>
      <w:pPr>
        <w:pStyle w:val="Heading2"/>
        <w:pBdr>
          <w:bottom w:val="single" w:color="D6E4F0" w:sz="4" w:space="3"/>
        </w:pBdr>
        <w:spacing w:after="100" w:before="320"/>
      </w:pPr>
      <w:r>
        <w:rPr>
          <w:rFonts w:ascii="Arial" w:cs="Arial" w:eastAsia="Arial" w:hAnsi="Arial"/>
          <w:b/>
          <w:bCs/>
          <w:color w:val="1F5C99"/>
          <w:sz w:val="24"/>
          <w:szCs w:val="24"/>
        </w:rPr>
        <w:t xml:space="preserve">1.2  Start small — five tables or fewer</w:t>
      </w:r>
    </w:p>
    <w:p>
      <w:pPr>
        <w:spacing w:after="60" w:before="60"/>
      </w:pPr>
      <w:r>
        <w:rPr>
          <w:rFonts w:ascii="Arial" w:cs="Arial" w:eastAsia="Arial" w:hAnsi="Arial"/>
          <w:color w:val="1A1A1A"/>
          <w:sz w:val="20"/>
          <w:szCs w:val="20"/>
        </w:rPr>
        <w:t xml:space="preserve">Databricks recommends starting with five or fewer tables. This is not a suggestion — it is the architecture pattern that produces reliable spaces. A narrow, well-curated space outperforms a broad, lightly curated one every time.</w:t>
      </w:r>
    </w:p>
    <w:p>
      <w:pPr>
        <w:spacing w:after="0" w:before="4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1F5C99" w:val="clear"/>
            <w:tcMar>
              <w:top w:type="dxa" w:w="80"/>
              <w:left w:type="dxa" w:w="120"/>
              <w:bottom w:type="dxa" w:w="80"/>
              <w:right w:type="dxa" w:w="120"/>
            </w:tcMar>
          </w:tcPr>
          <w:p>
            <w:pPr>
              <w:spacing w:after="60" w:before="60"/>
            </w:pPr>
            <w:r>
              <w:rPr>
                <w:rFonts w:ascii="Arial" w:cs="Arial" w:eastAsia="Arial" w:hAnsi="Arial"/>
                <w:b/>
                <w:bCs/>
                <w:color w:val="FFFFFF"/>
                <w:sz w:val="18"/>
                <w:szCs w:val="18"/>
              </w:rPr>
              <w:t xml:space="preserve">Principle</w:t>
            </w:r>
          </w:p>
        </w:tc>
        <w:tc>
          <w:tcPr>
            <w:tcW w:type="dxa" w:w="6760"/>
            <w:tcBorders>
              <w:top w:val="single" w:color="DDDDDD" w:sz="1"/>
              <w:left w:val="single" w:color="DDDDDD" w:sz="1"/>
              <w:bottom w:val="single" w:color="DDDDDD" w:sz="1"/>
              <w:right w:val="single" w:color="DDDDDD" w:sz="1"/>
            </w:tcBorders>
            <w:shd w:fill="1F5C99" w:val="clear"/>
            <w:tcMar>
              <w:top w:type="dxa" w:w="80"/>
              <w:left w:type="dxa" w:w="120"/>
              <w:bottom w:type="dxa" w:w="80"/>
              <w:right w:type="dxa" w:w="120"/>
            </w:tcMar>
          </w:tcPr>
          <w:p>
            <w:pPr>
              <w:spacing w:after="60" w:before="60"/>
            </w:pPr>
            <w:r>
              <w:rPr>
                <w:rFonts w:ascii="Arial" w:cs="Arial" w:eastAsia="Arial" w:hAnsi="Arial"/>
                <w:b/>
                <w:bCs/>
                <w:color w:val="FFFFFF"/>
                <w:sz w:val="18"/>
                <w:szCs w:val="18"/>
              </w:rPr>
              <w:t xml:space="preserve">Practical rule</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One domain, one space</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If you need two different audiences or two unrelated topics, build two spaces. Do not combine them.</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Fewer tables, better answers</w:t>
            </w:r>
          </w:p>
        </w:tc>
        <w:tc>
          <w:tcPr>
            <w:tcW w:type="dxa" w:w="6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Genie performs best with 5 or fewer tables. Every additional table increases ambiguity and reduces accuracy.</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Hard limit is 30 tables/views</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If your topic genuinely requires more than 30 objects, you must pre-join them into views before adding to the space.</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Fewer columns is also better</w:t>
            </w:r>
          </w:p>
        </w:tc>
        <w:tc>
          <w:tcPr>
            <w:tcW w:type="dxa" w:w="6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Remove columns not needed to answer the defined question set from your gold view. Unnecessary columns consume token budget and introduce noise.</w:t>
            </w:r>
          </w:p>
        </w:tc>
      </w:tr>
    </w:tbl>
    <w:p>
      <w:pPr>
        <w:spacing w:after="0" w:before="80"/>
      </w:pPr>
      <w:r>
        <w:rPr>
          <w:rFonts w:ascii="Arial" w:cs="Arial" w:eastAsia="Arial" w:hAnsi="Arial"/>
          <w:color w:val="1A1A1A"/>
          <w:sz w:val="20"/>
          <w:szCs w:val="20"/>
        </w:rPr>
        <w:t xml:space="preserve"/>
      </w:r>
    </w:p>
    <w:p>
      <w:pPr>
        <w:pStyle w:val="Heading2"/>
        <w:pBdr>
          <w:bottom w:val="single" w:color="D6E4F0" w:sz="4" w:space="3"/>
        </w:pBdr>
        <w:spacing w:after="100" w:before="320"/>
      </w:pPr>
      <w:r>
        <w:rPr>
          <w:rFonts w:ascii="Arial" w:cs="Arial" w:eastAsia="Arial" w:hAnsi="Arial"/>
          <w:b/>
          <w:bCs/>
          <w:color w:val="1F5C99"/>
          <w:sz w:val="24"/>
          <w:szCs w:val="24"/>
        </w:rPr>
        <w:t xml:space="preserve">1.3  One space can grow — plan for it</w:t>
      </w:r>
    </w:p>
    <w:p>
      <w:pPr>
        <w:spacing w:after="60" w:before="60"/>
      </w:pPr>
      <w:r>
        <w:rPr>
          <w:rFonts w:ascii="Arial" w:cs="Arial" w:eastAsia="Arial" w:hAnsi="Arial"/>
          <w:color w:val="1A1A1A"/>
          <w:sz w:val="20"/>
          <w:szCs w:val="20"/>
        </w:rPr>
        <w:t xml:space="preserve">Starting small does not mean staying small. Design for growth from day one by keeping your scope definition document updated and revisiting it before each iteration. The right growth pattern is:</w:t>
      </w:r>
    </w:p>
    <w:p>
      <w:pPr>
        <w:spacing w:after="0" w:before="40"/>
      </w:pPr>
      <w:r>
        <w:rPr>
          <w:rFonts w:ascii="Arial" w:cs="Arial" w:eastAsia="Arial" w:hAnsi="Arial"/>
          <w:color w:val="1A1A1A"/>
          <w:sz w:val="20"/>
          <w:szCs w:val="20"/>
        </w:rPr>
        <w:t xml:space="preserve"/>
      </w:r>
    </w:p>
    <w:p>
      <w:pPr>
        <w:pStyle w:val="ListParagraph"/>
        <w:numPr>
          <w:ilvl w:val="0"/>
          <w:numId w:val="2"/>
        </w:numPr>
        <w:spacing w:after="60" w:before="60"/>
      </w:pPr>
      <w:r>
        <w:rPr>
          <w:rFonts w:ascii="Arial" w:cs="Arial" w:eastAsia="Arial" w:hAnsi="Arial"/>
          <w:color w:val="1A1A1A"/>
          <w:sz w:val="20"/>
          <w:szCs w:val="20"/>
        </w:rPr>
        <w:t xml:space="preserve">Launch with 5 or fewer tables covering the highest-priority questions.</w:t>
      </w:r>
    </w:p>
    <w:p>
      <w:pPr>
        <w:pStyle w:val="ListParagraph"/>
        <w:numPr>
          <w:ilvl w:val="0"/>
          <w:numId w:val="2"/>
        </w:numPr>
        <w:spacing w:after="60" w:before="60"/>
      </w:pPr>
      <w:r>
        <w:rPr>
          <w:rFonts w:ascii="Arial" w:cs="Arial" w:eastAsia="Arial" w:hAnsi="Arial"/>
          <w:color w:val="1A1A1A"/>
          <w:sz w:val="20"/>
          <w:szCs w:val="20"/>
        </w:rPr>
        <w:t xml:space="preserve">Monitor the Monitoring tab for unanswered or poorly answered questions.</w:t>
      </w:r>
    </w:p>
    <w:p>
      <w:pPr>
        <w:pStyle w:val="ListParagraph"/>
        <w:numPr>
          <w:ilvl w:val="0"/>
          <w:numId w:val="2"/>
        </w:numPr>
        <w:spacing w:after="60" w:before="60"/>
      </w:pPr>
      <w:r>
        <w:rPr>
          <w:rFonts w:ascii="Arial" w:cs="Arial" w:eastAsia="Arial" w:hAnsi="Arial"/>
          <w:color w:val="1A1A1A"/>
          <w:sz w:val="20"/>
          <w:szCs w:val="20"/>
        </w:rPr>
        <w:t xml:space="preserve">Add tables, views, or instructions one at a time — never in bulk.</w:t>
      </w:r>
    </w:p>
    <w:p>
      <w:pPr>
        <w:pStyle w:val="ListParagraph"/>
        <w:numPr>
          <w:ilvl w:val="0"/>
          <w:numId w:val="2"/>
        </w:numPr>
        <w:spacing w:after="60" w:before="60"/>
      </w:pPr>
      <w:r>
        <w:rPr>
          <w:rFonts w:ascii="Arial" w:cs="Arial" w:eastAsia="Arial" w:hAnsi="Arial"/>
          <w:color w:val="1A1A1A"/>
          <w:sz w:val="20"/>
          <w:szCs w:val="20"/>
        </w:rPr>
        <w:t xml:space="preserve">After each addition, re-run your benchmark questions to verify nothing regressed.</w:t>
      </w:r>
    </w:p>
    <w:p>
      <w:pPr>
        <w:pStyle w:val="ListParagraph"/>
        <w:numPr>
          <w:ilvl w:val="0"/>
          <w:numId w:val="2"/>
        </w:numPr>
        <w:spacing w:after="60" w:before="60"/>
      </w:pPr>
      <w:r>
        <w:rPr>
          <w:rFonts w:ascii="Arial" w:cs="Arial" w:eastAsia="Arial" w:hAnsi="Arial"/>
          <w:color w:val="1A1A1A"/>
          <w:sz w:val="20"/>
          <w:szCs w:val="20"/>
        </w:rPr>
        <w:t xml:space="preserve">If a topic grows large enough to warrant its own audience or domain, spin it into a separate space.</w:t>
      </w:r>
    </w:p>
    <w:p>
      <w:pPr>
        <w:spacing w:after="0" w:before="8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6B1A" w:sz="18"/>
              <w:bottom w:val="none" w:color="FFFFFF" w:sz="0"/>
              <w:right w:val="none" w:color="FFFFFF" w:sz="0"/>
            </w:tcBorders>
            <w:shd w:fill="E8F5E9" w:val="clear"/>
            <w:tcMar>
              <w:top w:type="dxa" w:w="120"/>
              <w:left w:type="dxa" w:w="200"/>
              <w:bottom w:type="dxa" w:w="120"/>
              <w:right w:type="dxa" w:w="200"/>
            </w:tcMar>
          </w:tcPr>
          <w:p>
            <w:pPr>
              <w:spacing w:after="60" w:before="0"/>
            </w:pPr>
            <w:r>
              <w:rPr>
                <w:rFonts w:ascii="Arial" w:cs="Arial" w:eastAsia="Arial" w:hAnsi="Arial"/>
                <w:b/>
                <w:bCs/>
                <w:color w:val="1A6B1A"/>
                <w:sz w:val="20"/>
                <w:szCs w:val="20"/>
              </w:rPr>
              <w:t xml:space="preserve">✓  Best Practice</w:t>
            </w:r>
          </w:p>
          <w:p>
            <w:pPr>
              <w:spacing w:after="60" w:before="60"/>
            </w:pPr>
            <w:r>
              <w:rPr>
                <w:rFonts w:ascii="Arial" w:cs="Arial" w:eastAsia="Arial" w:hAnsi="Arial"/>
                <w:color w:val="1A1A1A"/>
                <w:sz w:val="19"/>
                <w:szCs w:val="19"/>
              </w:rPr>
              <w:t xml:space="preserve">Write a one-paragraph 'space charter' before you build: who uses it, what topic it covers, and what the 10-15 benchmark questions are. Paste it into the space's description field and share it with stakeholders. This single document will save hours of rework.</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5C99" w:val="clear"/>
            <w:tcMar>
              <w:top w:type="dxa" w:w="160"/>
              <w:left w:type="dxa" w:w="240"/>
              <w:bottom w:type="dxa" w:w="160"/>
              <w:right w:type="dxa" w:w="240"/>
            </w:tcMar>
          </w:tcPr>
          <w:p>
            <w:pPr>
              <w:spacing w:after="60" w:before="0"/>
            </w:pPr>
            <w:r>
              <w:rPr>
                <w:rFonts w:ascii="Arial" w:cs="Arial" w:eastAsia="Arial" w:hAnsi="Arial"/>
                <w:b/>
                <w:bCs/>
                <w:color w:val="C8DCF0"/>
                <w:sz w:val="28"/>
                <w:szCs w:val="28"/>
              </w:rPr>
              <w:t xml:space="preserve">2  </w:t>
            </w:r>
            <w:r>
              <w:rPr>
                <w:rFonts w:ascii="Arial" w:cs="Arial" w:eastAsia="Arial" w:hAnsi="Arial"/>
                <w:b/>
                <w:bCs/>
                <w:color w:val="FFFFFF"/>
                <w:sz w:val="28"/>
                <w:szCs w:val="28"/>
              </w:rPr>
              <w:t xml:space="preserve">Data Engineering Before You Build</w:t>
            </w:r>
          </w:p>
          <w:p>
            <w:pPr>
              <w:spacing w:after="0" w:before="0"/>
            </w:pPr>
            <w:r>
              <w:rPr>
                <w:rFonts w:ascii="Arial" w:cs="Arial" w:eastAsia="Arial" w:hAnsi="Arial"/>
                <w:i/>
                <w:iCs/>
                <w:color w:val="C8DCF0"/>
                <w:sz w:val="18"/>
                <w:szCs w:val="18"/>
              </w:rPr>
              <w:t xml:space="preserve">Prepare gold views so Genie has the simplest possible data to work with</w:t>
            </w:r>
          </w:p>
        </w:tc>
      </w:tr>
    </w:tbl>
    <w:p>
      <w:pPr>
        <w:spacing w:after="0" w:before="80"/>
      </w:pPr>
      <w:r>
        <w:rPr>
          <w:rFonts w:ascii="Arial" w:cs="Arial" w:eastAsia="Arial" w:hAnsi="Arial"/>
          <w:color w:val="1A1A1A"/>
          <w:sz w:val="20"/>
          <w:szCs w:val="20"/>
        </w:rPr>
        <w:t xml:space="preserve"/>
      </w:r>
    </w:p>
    <w:p>
      <w:pPr>
        <w:spacing w:after="60" w:before="60"/>
      </w:pPr>
      <w:r>
        <w:rPr>
          <w:rFonts w:ascii="Arial" w:cs="Arial" w:eastAsia="Arial" w:hAnsi="Arial"/>
          <w:color w:val="1A1A1A"/>
          <w:sz w:val="20"/>
          <w:szCs w:val="20"/>
        </w:rPr>
        <w:t xml:space="preserve">The quality of a Genie space is bounded by the quality of the data it sits on top of. Giving Genie raw silver tables and expecting it to figure out complex joins is the equivalent of handing a new analyst a pile of raw source files and no documentation. The data engineering work done before building the space is the highest-leverage investment you can make.</w:t>
      </w:r>
    </w:p>
    <w:p>
      <w:pPr>
        <w:spacing w:after="0" w:before="40"/>
      </w:pPr>
      <w:r>
        <w:rPr>
          <w:rFonts w:ascii="Arial" w:cs="Arial" w:eastAsia="Arial" w:hAnsi="Arial"/>
          <w:color w:val="1A1A1A"/>
          <w:sz w:val="20"/>
          <w:szCs w:val="20"/>
        </w:rPr>
        <w:t xml:space="preserve"/>
      </w:r>
    </w:p>
    <w:p>
      <w:pPr>
        <w:pStyle w:val="Heading2"/>
        <w:pBdr>
          <w:bottom w:val="single" w:color="D6E4F0" w:sz="4" w:space="3"/>
        </w:pBdr>
        <w:spacing w:after="100" w:before="320"/>
      </w:pPr>
      <w:r>
        <w:rPr>
          <w:rFonts w:ascii="Arial" w:cs="Arial" w:eastAsia="Arial" w:hAnsi="Arial"/>
          <w:b/>
          <w:bCs/>
          <w:color w:val="1F5C99"/>
          <w:sz w:val="24"/>
          <w:szCs w:val="24"/>
        </w:rPr>
        <w:t xml:space="preserve">2.1  The medallion context: why silver tables are the wrong starting point</w:t>
      </w:r>
    </w:p>
    <w:p>
      <w:pPr>
        <w:spacing w:after="60" w:before="60"/>
      </w:pPr>
      <w:r>
        <w:rPr>
          <w:rFonts w:ascii="Arial" w:cs="Arial" w:eastAsia="Arial" w:hAnsi="Arial"/>
          <w:color w:val="1A1A1A"/>
          <w:sz w:val="20"/>
          <w:szCs w:val="20"/>
        </w:rPr>
        <w:t xml:space="preserve">Silver tables are cleaned and conformed but they are not yet business-ready. They typically contain technical columns, surrogate keys, multiple overlapping join paths, and raw codes rather than descriptions. Genie will struggle with all of these. Gold views exist precisely to solve this — they encode business logic, pre-join related entities, and surface the columns and values that business users actually think in.</w:t>
      </w:r>
    </w:p>
    <w:p>
      <w:pPr>
        <w:spacing w:after="0" w:before="4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DDDDD" w:sz="1"/>
              <w:left w:val="single" w:color="DDDDDD" w:sz="1"/>
              <w:bottom w:val="single" w:color="DDDDDD" w:sz="1"/>
              <w:right w:val="single" w:color="DDDDDD" w:sz="1"/>
            </w:tcBorders>
            <w:shd w:fill="1F5C99" w:val="clear"/>
            <w:tcMar>
              <w:top w:type="dxa" w:w="80"/>
              <w:left w:type="dxa" w:w="120"/>
              <w:bottom w:type="dxa" w:w="80"/>
              <w:right w:type="dxa" w:w="120"/>
            </w:tcMar>
          </w:tcPr>
          <w:p>
            <w:pPr>
              <w:spacing w:after="60" w:before="60"/>
            </w:pPr>
            <w:r>
              <w:rPr>
                <w:rFonts w:ascii="Arial" w:cs="Arial" w:eastAsia="Arial" w:hAnsi="Arial"/>
                <w:b/>
                <w:bCs/>
                <w:color w:val="FFFFFF"/>
                <w:sz w:val="18"/>
                <w:szCs w:val="18"/>
              </w:rPr>
              <w:t xml:space="preserve">Layer</w:t>
            </w:r>
          </w:p>
        </w:tc>
        <w:tc>
          <w:tcPr>
            <w:tcW w:type="dxa" w:w="7360"/>
            <w:tcBorders>
              <w:top w:val="single" w:color="DDDDDD" w:sz="1"/>
              <w:left w:val="single" w:color="DDDDDD" w:sz="1"/>
              <w:bottom w:val="single" w:color="DDDDDD" w:sz="1"/>
              <w:right w:val="single" w:color="DDDDDD" w:sz="1"/>
            </w:tcBorders>
            <w:shd w:fill="1F5C99" w:val="clear"/>
            <w:tcMar>
              <w:top w:type="dxa" w:w="80"/>
              <w:left w:type="dxa" w:w="120"/>
              <w:bottom w:type="dxa" w:w="80"/>
              <w:right w:type="dxa" w:w="120"/>
            </w:tcMar>
          </w:tcPr>
          <w:p>
            <w:pPr>
              <w:spacing w:after="60" w:before="60"/>
            </w:pPr>
            <w:r>
              <w:rPr>
                <w:rFonts w:ascii="Arial" w:cs="Arial" w:eastAsia="Arial" w:hAnsi="Arial"/>
                <w:b/>
                <w:bCs/>
                <w:color w:val="FFFFFF"/>
                <w:sz w:val="18"/>
                <w:szCs w:val="18"/>
              </w:rPr>
              <w:t xml:space="preserve">What it contains — and whether to use it in Genie</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Bronze</w:t>
            </w:r>
          </w:p>
        </w:tc>
        <w:tc>
          <w:tcPr>
            <w:tcW w:type="dxa" w:w="7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Raw ingested data. Never use directly in Genie.</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Silver</w:t>
            </w:r>
          </w:p>
        </w:tc>
        <w:tc>
          <w:tcPr>
            <w:tcW w:type="dxa" w:w="7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Cleaned, typed, deduped. Use only if the domain is very simple and no joins are needed. Almost always the wrong choice.</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Gold view / table</w:t>
            </w:r>
          </w:p>
        </w:tc>
        <w:tc>
          <w:tcPr>
            <w:tcW w:type="dxa" w:w="7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Business-ready, pre-joined, business-named columns, human-readable values. This is the correct input for Genie.</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Metric view</w:t>
            </w:r>
          </w:p>
        </w:tc>
        <w:tc>
          <w:tcPr>
            <w:tcW w:type="dxa" w:w="7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Pre-defined measures, dimensions, and aggregations. The most powerful option for analytical spaces — use wherever possible.</w:t>
            </w:r>
          </w:p>
        </w:tc>
      </w:tr>
    </w:tbl>
    <w:p>
      <w:pPr>
        <w:spacing w:after="0" w:before="8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B1A1A" w:sz="18"/>
              <w:bottom w:val="none" w:color="FFFFFF" w:sz="0"/>
              <w:right w:val="none" w:color="FFFFFF" w:sz="0"/>
            </w:tcBorders>
            <w:shd w:fill="FDECEA" w:val="clear"/>
            <w:tcMar>
              <w:top w:type="dxa" w:w="120"/>
              <w:left w:type="dxa" w:w="200"/>
              <w:bottom w:type="dxa" w:w="120"/>
              <w:right w:type="dxa" w:w="200"/>
            </w:tcMar>
          </w:tcPr>
          <w:p>
            <w:pPr>
              <w:spacing w:after="60" w:before="0"/>
            </w:pPr>
            <w:r>
              <w:rPr>
                <w:rFonts w:ascii="Arial" w:cs="Arial" w:eastAsia="Arial" w:hAnsi="Arial"/>
                <w:b/>
                <w:bCs/>
                <w:color w:val="7B1A1A"/>
                <w:sz w:val="20"/>
                <w:szCs w:val="20"/>
              </w:rPr>
              <w:t xml:space="preserve">⚠  Common Mistake to Avoid</w:t>
            </w:r>
          </w:p>
          <w:p>
            <w:pPr>
              <w:spacing w:after="60" w:before="60"/>
            </w:pPr>
            <w:r>
              <w:rPr>
                <w:rFonts w:ascii="Arial" w:cs="Arial" w:eastAsia="Arial" w:hAnsi="Arial"/>
                <w:color w:val="1A1A1A"/>
                <w:sz w:val="19"/>
                <w:szCs w:val="19"/>
              </w:rPr>
              <w:t xml:space="preserve">Our first space added 25 silver tables directly. Genie had no way to know which of the many possible join paths was correct, which columns were authoritative when duplicates existed across tables, or how to map raw status codes to the descriptions users expected. Every one of these problems then got a text instruction as a patch.</w:t>
            </w:r>
          </w:p>
        </w:tc>
      </w:tr>
    </w:tbl>
    <w:p>
      <w:pPr>
        <w:spacing w:after="0" w:before="80"/>
      </w:pPr>
      <w:r>
        <w:rPr>
          <w:rFonts w:ascii="Arial" w:cs="Arial" w:eastAsia="Arial" w:hAnsi="Arial"/>
          <w:color w:val="1A1A1A"/>
          <w:sz w:val="20"/>
          <w:szCs w:val="20"/>
        </w:rPr>
        <w:t xml:space="preserve"/>
      </w:r>
    </w:p>
    <w:p>
      <w:pPr>
        <w:pStyle w:val="Heading2"/>
        <w:pBdr>
          <w:bottom w:val="single" w:color="D6E4F0" w:sz="4" w:space="3"/>
        </w:pBdr>
        <w:spacing w:after="100" w:before="320"/>
      </w:pPr>
      <w:r>
        <w:rPr>
          <w:rFonts w:ascii="Arial" w:cs="Arial" w:eastAsia="Arial" w:hAnsi="Arial"/>
          <w:b/>
          <w:bCs/>
          <w:color w:val="1F5C99"/>
          <w:sz w:val="24"/>
          <w:szCs w:val="24"/>
        </w:rPr>
        <w:t xml:space="preserve">2.2  When to build a gold view</w:t>
      </w:r>
    </w:p>
    <w:p>
      <w:pPr>
        <w:spacing w:after="60" w:before="60"/>
      </w:pPr>
      <w:r>
        <w:rPr>
          <w:rFonts w:ascii="Arial" w:cs="Arial" w:eastAsia="Arial" w:hAnsi="Arial"/>
          <w:color w:val="1A1A1A"/>
          <w:sz w:val="20"/>
          <w:szCs w:val="20"/>
        </w:rPr>
        <w:t xml:space="preserve">Build a gold view whenever the answer to any of the following is yes:</w:t>
      </w:r>
    </w:p>
    <w:p>
      <w:pPr>
        <w:spacing w:after="0" w:before="40"/>
      </w:pPr>
      <w:r>
        <w:rPr>
          <w:rFonts w:ascii="Arial" w:cs="Arial" w:eastAsia="Arial" w:hAnsi="Arial"/>
          <w:color w:val="1A1A1A"/>
          <w:sz w:val="20"/>
          <w:szCs w:val="20"/>
        </w:rPr>
        <w:t xml:space="preserve"/>
      </w:r>
    </w:p>
    <w:p>
      <w:pPr>
        <w:pStyle w:val="ListParagraph"/>
        <w:numPr>
          <w:ilvl w:val="0"/>
          <w:numId w:val="3"/>
        </w:numPr>
        <w:spacing w:after="40" w:before="40"/>
      </w:pPr>
      <w:r>
        <w:rPr>
          <w:rFonts w:ascii="Arial" w:cs="Arial" w:eastAsia="Arial" w:hAnsi="Arial"/>
          <w:color w:val="1A1A1A"/>
          <w:sz w:val="20"/>
          <w:szCs w:val="20"/>
        </w:rPr>
        <w:t xml:space="preserve">Two or more tables need to be joined to answer the question set.</w:t>
      </w:r>
    </w:p>
    <w:p>
      <w:pPr>
        <w:pStyle w:val="ListParagraph"/>
        <w:numPr>
          <w:ilvl w:val="0"/>
          <w:numId w:val="3"/>
        </w:numPr>
        <w:spacing w:after="40" w:before="40"/>
      </w:pPr>
      <w:r>
        <w:rPr>
          <w:rFonts w:ascii="Arial" w:cs="Arial" w:eastAsia="Arial" w:hAnsi="Arial"/>
          <w:color w:val="1A1A1A"/>
          <w:sz w:val="20"/>
          <w:szCs w:val="20"/>
        </w:rPr>
        <w:t xml:space="preserve">Columns need to be COALESCEd or reconciled across tables.</w:t>
      </w:r>
    </w:p>
    <w:p>
      <w:pPr>
        <w:pStyle w:val="ListParagraph"/>
        <w:numPr>
          <w:ilvl w:val="0"/>
          <w:numId w:val="3"/>
        </w:numPr>
        <w:spacing w:after="40" w:before="40"/>
      </w:pPr>
      <w:r>
        <w:rPr>
          <w:rFonts w:ascii="Arial" w:cs="Arial" w:eastAsia="Arial" w:hAnsi="Arial"/>
          <w:color w:val="1A1A1A"/>
          <w:sz w:val="20"/>
          <w:szCs w:val="20"/>
        </w:rPr>
        <w:t xml:space="preserve">Raw codes need to be replaced with human-readable descriptions.</w:t>
      </w:r>
    </w:p>
    <w:p>
      <w:pPr>
        <w:pStyle w:val="ListParagraph"/>
        <w:numPr>
          <w:ilvl w:val="0"/>
          <w:numId w:val="3"/>
        </w:numPr>
        <w:spacing w:after="40" w:before="40"/>
      </w:pPr>
      <w:r>
        <w:rPr>
          <w:rFonts w:ascii="Arial" w:cs="Arial" w:eastAsia="Arial" w:hAnsi="Arial"/>
          <w:color w:val="1A1A1A"/>
          <w:sz w:val="20"/>
          <w:szCs w:val="20"/>
        </w:rPr>
        <w:t xml:space="preserve">Business logic (e.g. fiscal year definition, active customer definition) needs to be applied consistently.</w:t>
      </w:r>
    </w:p>
    <w:p>
      <w:pPr>
        <w:pStyle w:val="ListParagraph"/>
        <w:numPr>
          <w:ilvl w:val="0"/>
          <w:numId w:val="3"/>
        </w:numPr>
        <w:spacing w:after="40" w:before="40"/>
      </w:pPr>
      <w:r>
        <w:rPr>
          <w:rFonts w:ascii="Arial" w:cs="Arial" w:eastAsia="Arial" w:hAnsi="Arial"/>
          <w:color w:val="1A1A1A"/>
          <w:sz w:val="20"/>
          <w:szCs w:val="20"/>
        </w:rPr>
        <w:t xml:space="preserve">Date or timezone conversions are required.</w:t>
      </w:r>
    </w:p>
    <w:p>
      <w:pPr>
        <w:pStyle w:val="ListParagraph"/>
        <w:numPr>
          <w:ilvl w:val="0"/>
          <w:numId w:val="3"/>
        </w:numPr>
        <w:spacing w:after="40" w:before="40"/>
      </w:pPr>
      <w:r>
        <w:rPr>
          <w:rFonts w:ascii="Arial" w:cs="Arial" w:eastAsia="Arial" w:hAnsi="Arial"/>
          <w:color w:val="1A1A1A"/>
          <w:sz w:val="20"/>
          <w:szCs w:val="20"/>
        </w:rPr>
        <w:t xml:space="preserve">A date boundary or business filter should always be applied (e.g. data only valid from a certain date).</w:t>
      </w:r>
    </w:p>
    <w:p>
      <w:pPr>
        <w:pStyle w:val="ListParagraph"/>
        <w:numPr>
          <w:ilvl w:val="0"/>
          <w:numId w:val="3"/>
        </w:numPr>
        <w:spacing w:after="40" w:before="40"/>
      </w:pPr>
      <w:r>
        <w:rPr>
          <w:rFonts w:ascii="Arial" w:cs="Arial" w:eastAsia="Arial" w:hAnsi="Arial"/>
          <w:color w:val="1A1A1A"/>
          <w:sz w:val="20"/>
          <w:szCs w:val="20"/>
        </w:rPr>
        <w:t xml:space="preserve">Column names in the source tables do not match the vocabulary business users use.</w:t>
      </w:r>
    </w:p>
    <w:p>
      <w:pPr>
        <w:spacing w:after="0" w:before="8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D6E4F0" w:val="clear"/>
            <w:tcMar>
              <w:top w:type="dxa" w:w="120"/>
              <w:left w:type="dxa" w:w="200"/>
              <w:bottom w:type="dxa" w:w="120"/>
              <w:right w:type="dxa" w:w="200"/>
            </w:tcMar>
          </w:tcPr>
          <w:p>
            <w:pPr>
              <w:spacing w:after="60" w:before="0"/>
            </w:pPr>
            <w:r>
              <w:rPr>
                <w:rFonts w:ascii="Arial" w:cs="Arial" w:eastAsia="Arial" w:hAnsi="Arial"/>
                <w:b/>
                <w:bCs/>
                <w:color w:val="1A3F6B"/>
                <w:sz w:val="20"/>
                <w:szCs w:val="20"/>
              </w:rPr>
              <w:t xml:space="preserve">Gold view design checklist</w:t>
            </w:r>
          </w:p>
          <w:p>
            <w:pPr>
              <w:pStyle w:val="ListParagraph"/>
              <w:numPr>
                <w:ilvl w:val="0"/>
                <w:numId w:val="3"/>
              </w:numPr>
              <w:spacing w:after="40" w:before="40"/>
            </w:pPr>
            <w:r>
              <w:rPr>
                <w:rFonts w:ascii="Arial" w:cs="Arial" w:eastAsia="Arial" w:hAnsi="Arial"/>
                <w:b/>
                <w:bCs/>
                <w:color w:val="1A1A1A"/>
                <w:sz w:val="20"/>
                <w:szCs w:val="20"/>
              </w:rPr>
              <w:t xml:space="preserve">Name the view using business language</w:t>
            </w:r>
            <w:r>
              <w:rPr>
                <w:rFonts w:ascii="Arial" w:cs="Arial" w:eastAsia="Arial" w:hAnsi="Arial"/>
                <w:color w:val="1A1A1A"/>
                <w:sz w:val="20"/>
                <w:szCs w:val="20"/>
              </w:rPr>
              <w:t xml:space="preserve"> — e.g. vw_loan_portfolio_summary, not lms_fact_joined_v2.</w:t>
            </w:r>
          </w:p>
          <w:p>
            <w:pPr>
              <w:pStyle w:val="ListParagraph"/>
              <w:numPr>
                <w:ilvl w:val="0"/>
                <w:numId w:val="3"/>
              </w:numPr>
              <w:spacing w:after="40" w:before="40"/>
            </w:pPr>
            <w:r>
              <w:rPr>
                <w:rFonts w:ascii="Arial" w:cs="Arial" w:eastAsia="Arial" w:hAnsi="Arial"/>
                <w:b/>
                <w:bCs/>
                <w:color w:val="1A1A1A"/>
                <w:sz w:val="20"/>
                <w:szCs w:val="20"/>
              </w:rPr>
              <w:t xml:space="preserve">Write a Unity Catalog table comment</w:t>
            </w:r>
            <w:r>
              <w:rPr>
                <w:rFonts w:ascii="Arial" w:cs="Arial" w:eastAsia="Arial" w:hAnsi="Arial"/>
                <w:color w:val="1A1A1A"/>
                <w:sz w:val="20"/>
                <w:szCs w:val="20"/>
              </w:rPr>
              <w:t xml:space="preserve"> describing what the view contains, who it is for, and any important caveats (e.g. date boundaries, exclusions).</w:t>
            </w:r>
          </w:p>
          <w:p>
            <w:pPr>
              <w:pStyle w:val="ListParagraph"/>
              <w:numPr>
                <w:ilvl w:val="0"/>
                <w:numId w:val="3"/>
              </w:numPr>
              <w:spacing w:after="40" w:before="40"/>
            </w:pPr>
            <w:r>
              <w:rPr>
                <w:rFonts w:ascii="Arial" w:cs="Arial" w:eastAsia="Arial" w:hAnsi="Arial"/>
                <w:b/>
                <w:bCs/>
                <w:color w:val="1A1A1A"/>
                <w:sz w:val="20"/>
                <w:szCs w:val="20"/>
              </w:rPr>
              <w:t xml:space="preserve">Write a Unity Catalog column comment for every column</w:t>
            </w:r>
            <w:r>
              <w:rPr>
                <w:rFonts w:ascii="Arial" w:cs="Arial" w:eastAsia="Arial" w:hAnsi="Arial"/>
                <w:color w:val="1A1A1A"/>
                <w:sz w:val="20"/>
                <w:szCs w:val="20"/>
              </w:rPr>
              <w:t xml:space="preserve"> — use business language, not technical language.</w:t>
            </w:r>
          </w:p>
          <w:p>
            <w:pPr>
              <w:pStyle w:val="ListParagraph"/>
              <w:numPr>
                <w:ilvl w:val="0"/>
                <w:numId w:val="3"/>
              </w:numPr>
              <w:spacing w:after="40" w:before="40"/>
            </w:pPr>
            <w:r>
              <w:rPr>
                <w:rFonts w:ascii="Arial" w:cs="Arial" w:eastAsia="Arial" w:hAnsi="Arial"/>
                <w:b/>
                <w:bCs/>
                <w:color w:val="1A1A1A"/>
                <w:sz w:val="20"/>
                <w:szCs w:val="20"/>
              </w:rPr>
              <w:t xml:space="preserve">Expose only columns needed by the question set</w:t>
            </w:r>
            <w:r>
              <w:rPr>
                <w:rFonts w:ascii="Arial" w:cs="Arial" w:eastAsia="Arial" w:hAnsi="Arial"/>
                <w:color w:val="1A1A1A"/>
                <w:sz w:val="20"/>
                <w:szCs w:val="20"/>
              </w:rPr>
              <w:t xml:space="preserve"> — do not SELECT *. Removing columns from the view eliminates them from Genie's token budget entirely, which is more effective than hiding them inside the space.</w:t>
            </w:r>
          </w:p>
          <w:p>
            <w:pPr>
              <w:pStyle w:val="ListParagraph"/>
              <w:numPr>
                <w:ilvl w:val="0"/>
                <w:numId w:val="3"/>
              </w:numPr>
              <w:spacing w:after="40" w:before="40"/>
            </w:pPr>
            <w:r>
              <w:rPr>
                <w:rFonts w:ascii="Arial" w:cs="Arial" w:eastAsia="Arial" w:hAnsi="Arial"/>
                <w:b/>
                <w:bCs/>
                <w:color w:val="1A1A1A"/>
                <w:sz w:val="20"/>
                <w:szCs w:val="20"/>
              </w:rPr>
              <w:t xml:space="preserve">Encode business logic inside the view</w:t>
            </w:r>
            <w:r>
              <w:rPr>
                <w:rFonts w:ascii="Arial" w:cs="Arial" w:eastAsia="Arial" w:hAnsi="Arial"/>
                <w:color w:val="1A1A1A"/>
                <w:sz w:val="20"/>
                <w:szCs w:val="20"/>
              </w:rPr>
              <w:t xml:space="preserve"> — fiscal year definitions, COALESCE priorities, active/inactive flags.</w:t>
            </w:r>
          </w:p>
          <w:p>
            <w:pPr>
              <w:pStyle w:val="ListParagraph"/>
              <w:numPr>
                <w:ilvl w:val="0"/>
                <w:numId w:val="3"/>
              </w:numPr>
              <w:spacing w:after="40" w:before="40"/>
            </w:pPr>
            <w:r>
              <w:rPr>
                <w:rFonts w:ascii="Arial" w:cs="Arial" w:eastAsia="Arial" w:hAnsi="Arial"/>
                <w:b/>
                <w:bCs/>
                <w:color w:val="1A1A1A"/>
                <w:sz w:val="20"/>
                <w:szCs w:val="20"/>
              </w:rPr>
              <w:t xml:space="preserve">Apply standing filters in the view</w:t>
            </w:r>
            <w:r>
              <w:rPr>
                <w:rFonts w:ascii="Arial" w:cs="Arial" w:eastAsia="Arial" w:hAnsi="Arial"/>
                <w:color w:val="1A1A1A"/>
                <w:sz w:val="20"/>
                <w:szCs w:val="20"/>
              </w:rPr>
              <w:t xml:space="preserve"> — if participation data is only valid from 12/31/2018, put that WHERE clause in the view, not in a text instruction.</w:t>
            </w:r>
          </w:p>
          <w:p>
            <w:pPr>
              <w:pStyle w:val="ListParagraph"/>
              <w:numPr>
                <w:ilvl w:val="0"/>
                <w:numId w:val="3"/>
              </w:numPr>
              <w:spacing w:after="40" w:before="40"/>
            </w:pPr>
            <w:r>
              <w:rPr>
                <w:rFonts w:ascii="Arial" w:cs="Arial" w:eastAsia="Arial" w:hAnsi="Arial"/>
                <w:b/>
                <w:bCs/>
                <w:color w:val="1A1A1A"/>
                <w:sz w:val="20"/>
                <w:szCs w:val="20"/>
              </w:rPr>
              <w:t xml:space="preserve">Test the view SQL independently before adding to Genie</w:t>
            </w:r>
            <w:r>
              <w:rPr>
                <w:rFonts w:ascii="Arial" w:cs="Arial" w:eastAsia="Arial" w:hAnsi="Arial"/>
                <w:color w:val="1A1A1A"/>
                <w:sz w:val="20"/>
                <w:szCs w:val="20"/>
              </w:rPr>
              <w:t xml:space="preserve"> — run the benchmark questions against it directly in a SQL editor.</w:t>
            </w:r>
          </w:p>
        </w:tc>
      </w:tr>
    </w:tbl>
    <w:p>
      <w:pPr>
        <w:spacing w:after="0" w:before="80"/>
      </w:pPr>
      <w:r>
        <w:rPr>
          <w:rFonts w:ascii="Arial" w:cs="Arial" w:eastAsia="Arial" w:hAnsi="Arial"/>
          <w:color w:val="1A1A1A"/>
          <w:sz w:val="20"/>
          <w:szCs w:val="20"/>
        </w:rPr>
        <w:t xml:space="preserve"/>
      </w:r>
    </w:p>
    <w:p>
      <w:pPr>
        <w:pStyle w:val="Heading2"/>
        <w:pBdr>
          <w:bottom w:val="single" w:color="D6E4F0" w:sz="4" w:space="3"/>
        </w:pBdr>
        <w:spacing w:after="100" w:before="320"/>
      </w:pPr>
      <w:r>
        <w:rPr>
          <w:rFonts w:ascii="Arial" w:cs="Arial" w:eastAsia="Arial" w:hAnsi="Arial"/>
          <w:b/>
          <w:bCs/>
          <w:color w:val="1F5C99"/>
          <w:sz w:val="24"/>
          <w:szCs w:val="24"/>
        </w:rPr>
        <w:t xml:space="preserve">2.3  When to use a metric view instead of a plain view</w:t>
      </w:r>
    </w:p>
    <w:p>
      <w:pPr>
        <w:spacing w:after="60" w:before="60"/>
      </w:pPr>
      <w:r>
        <w:rPr>
          <w:rFonts w:ascii="Arial" w:cs="Arial" w:eastAsia="Arial" w:hAnsi="Arial"/>
          <w:color w:val="1A1A1A"/>
          <w:sz w:val="20"/>
          <w:szCs w:val="20"/>
        </w:rPr>
        <w:t xml:space="preserve">Metric views are a Databricks-native feature that pre-define measures (KPIs), dimensions (grouping attributes), and their relationships. They are the most powerful input for analytical Genie spaces because they eliminate all ambiguity about how metrics should be calculated.</w:t>
      </w:r>
    </w:p>
    <w:p>
      <w:pPr>
        <w:spacing w:after="0" w:before="4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1F5C99" w:val="clear"/>
            <w:tcMar>
              <w:top w:type="dxa" w:w="80"/>
              <w:left w:type="dxa" w:w="120"/>
              <w:bottom w:type="dxa" w:w="80"/>
              <w:right w:type="dxa" w:w="120"/>
            </w:tcMar>
          </w:tcPr>
          <w:p>
            <w:pPr>
              <w:spacing w:after="60" w:before="60"/>
            </w:pPr>
            <w:r>
              <w:rPr>
                <w:rFonts w:ascii="Arial" w:cs="Arial" w:eastAsia="Arial" w:hAnsi="Arial"/>
                <w:b/>
                <w:bCs/>
                <w:color w:val="FFFFFF"/>
                <w:sz w:val="18"/>
                <w:szCs w:val="18"/>
              </w:rPr>
              <w:t xml:space="preserve">Use a plain gold view when...</w:t>
            </w:r>
          </w:p>
        </w:tc>
        <w:tc>
          <w:tcPr>
            <w:tcW w:type="dxa" w:w="6560"/>
            <w:tcBorders>
              <w:top w:val="single" w:color="DDDDDD" w:sz="1"/>
              <w:left w:val="single" w:color="DDDDDD" w:sz="1"/>
              <w:bottom w:val="single" w:color="DDDDDD" w:sz="1"/>
              <w:right w:val="single" w:color="DDDDDD" w:sz="1"/>
            </w:tcBorders>
            <w:shd w:fill="1F5C99" w:val="clear"/>
            <w:tcMar>
              <w:top w:type="dxa" w:w="80"/>
              <w:left w:type="dxa" w:w="120"/>
              <w:bottom w:type="dxa" w:w="80"/>
              <w:right w:type="dxa" w:w="120"/>
            </w:tcMar>
          </w:tcPr>
          <w:p>
            <w:pPr>
              <w:spacing w:after="60" w:before="60"/>
            </w:pPr>
            <w:r>
              <w:rPr>
                <w:rFonts w:ascii="Arial" w:cs="Arial" w:eastAsia="Arial" w:hAnsi="Arial"/>
                <w:b/>
                <w:bCs/>
                <w:color w:val="FFFFFF"/>
                <w:sz w:val="18"/>
                <w:szCs w:val="18"/>
              </w:rPr>
              <w:t xml:space="preserve">Use a metric view when...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The space is primarily entity-level lookups (e.g. details of a specific loan)</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The space is primarily analytical — users ask about aggregations, trends, comparisons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Metrics are simple counts or sums with no complex business logic</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Metrics have specific business definitions (e.g. commitment volume, utilization rate, gross margin)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The audience needs row-level detail rather than rolled-up numbers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The audience asks questions like 'show me performance by region' or 'what is our top product by volume'</w:t>
            </w:r>
          </w:p>
        </w:tc>
      </w:tr>
    </w:tbl>
    <w:p>
      <w:pPr>
        <w:spacing w:after="0" w:before="8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6B1A" w:sz="18"/>
              <w:bottom w:val="none" w:color="FFFFFF" w:sz="0"/>
              <w:right w:val="none" w:color="FFFFFF" w:sz="0"/>
            </w:tcBorders>
            <w:shd w:fill="E8F5E9" w:val="clear"/>
            <w:tcMar>
              <w:top w:type="dxa" w:w="120"/>
              <w:left w:type="dxa" w:w="200"/>
              <w:bottom w:type="dxa" w:w="120"/>
              <w:right w:type="dxa" w:w="200"/>
            </w:tcMar>
          </w:tcPr>
          <w:p>
            <w:pPr>
              <w:spacing w:after="60" w:before="0"/>
            </w:pPr>
            <w:r>
              <w:rPr>
                <w:rFonts w:ascii="Arial" w:cs="Arial" w:eastAsia="Arial" w:hAnsi="Arial"/>
                <w:b/>
                <w:bCs/>
                <w:color w:val="1A6B1A"/>
                <w:sz w:val="20"/>
                <w:szCs w:val="20"/>
              </w:rPr>
              <w:t xml:space="preserve">✓  Best Practice</w:t>
            </w:r>
          </w:p>
          <w:p>
            <w:pPr>
              <w:spacing w:after="60" w:before="60"/>
            </w:pPr>
            <w:r>
              <w:rPr>
                <w:rFonts w:ascii="Arial" w:cs="Arial" w:eastAsia="Arial" w:hAnsi="Arial"/>
                <w:color w:val="1A1A1A"/>
                <w:sz w:val="19"/>
                <w:szCs w:val="19"/>
              </w:rPr>
              <w:t xml:space="preserve">If you are building a space for business users who ask 'how much', 'how many', 'which is the top', or 'compare X vs Y' — a metric view will almost always produce better results than a plain view. Invest the time to define it correctly up front.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5C99" w:val="clear"/>
            <w:tcMar>
              <w:top w:type="dxa" w:w="160"/>
              <w:left w:type="dxa" w:w="240"/>
              <w:bottom w:type="dxa" w:w="160"/>
              <w:right w:type="dxa" w:w="240"/>
            </w:tcMar>
          </w:tcPr>
          <w:p>
            <w:pPr>
              <w:spacing w:after="60" w:before="0"/>
            </w:pPr>
            <w:r>
              <w:rPr>
                <w:rFonts w:ascii="Arial" w:cs="Arial" w:eastAsia="Arial" w:hAnsi="Arial"/>
                <w:b/>
                <w:bCs/>
                <w:color w:val="C8DCF0"/>
                <w:sz w:val="28"/>
                <w:szCs w:val="28"/>
              </w:rPr>
              <w:t xml:space="preserve">3  </w:t>
            </w:r>
            <w:r>
              <w:rPr>
                <w:rFonts w:ascii="Arial" w:cs="Arial" w:eastAsia="Arial" w:hAnsi="Arial"/>
                <w:b/>
                <w:bCs/>
                <w:color w:val="FFFFFF"/>
                <w:sz w:val="28"/>
                <w:szCs w:val="28"/>
              </w:rPr>
              <w:t xml:space="preserve">Adding Data to the Space</w:t>
            </w:r>
          </w:p>
          <w:p>
            <w:pPr>
              <w:spacing w:after="0" w:before="0"/>
            </w:pPr>
            <w:r>
              <w:rPr>
                <w:rFonts w:ascii="Arial" w:cs="Arial" w:eastAsia="Arial" w:hAnsi="Arial"/>
                <w:i/>
                <w:iCs/>
                <w:color w:val="C8DCF0"/>
                <w:sz w:val="18"/>
                <w:szCs w:val="18"/>
              </w:rPr>
              <w:t xml:space="preserve">Choose tables carefully, annotate everything, and configure prompt matching</w:t>
            </w:r>
          </w:p>
        </w:tc>
      </w:tr>
    </w:tbl>
    <w:p>
      <w:pPr>
        <w:spacing w:after="0" w:before="80"/>
      </w:pPr>
      <w:r>
        <w:rPr>
          <w:rFonts w:ascii="Arial" w:cs="Arial" w:eastAsia="Arial" w:hAnsi="Arial"/>
          <w:color w:val="1A1A1A"/>
          <w:sz w:val="20"/>
          <w:szCs w:val="20"/>
        </w:rPr>
        <w:t xml:space="preserve"/>
      </w:r>
    </w:p>
    <w:p>
      <w:pPr>
        <w:spacing w:after="60" w:before="60"/>
      </w:pPr>
      <w:r>
        <w:rPr>
          <w:rFonts w:ascii="Arial" w:cs="Arial" w:eastAsia="Arial" w:hAnsi="Arial"/>
          <w:color w:val="1A1A1A"/>
          <w:sz w:val="20"/>
          <w:szCs w:val="20"/>
        </w:rPr>
        <w:t xml:space="preserve">Once your gold views are ready, adding them to the space is straightforward — but the annotation work that follows is critical. Genie uses Unity Catalog metadata as its primary source of understanding. Tables and columns without descriptions are tables and columns Genie cannot reliably use.</w:t>
      </w:r>
    </w:p>
    <w:p>
      <w:pPr>
        <w:spacing w:after="0" w:before="40"/>
      </w:pPr>
      <w:r>
        <w:rPr>
          <w:rFonts w:ascii="Arial" w:cs="Arial" w:eastAsia="Arial" w:hAnsi="Arial"/>
          <w:color w:val="1A1A1A"/>
          <w:sz w:val="20"/>
          <w:szCs w:val="20"/>
        </w:rPr>
        <w:t xml:space="preserve"/>
      </w:r>
    </w:p>
    <w:p>
      <w:pPr>
        <w:pStyle w:val="Heading2"/>
        <w:pBdr>
          <w:bottom w:val="single" w:color="D6E4F0" w:sz="4" w:space="3"/>
        </w:pBdr>
        <w:spacing w:after="100" w:before="320"/>
      </w:pPr>
      <w:r>
        <w:rPr>
          <w:rFonts w:ascii="Arial" w:cs="Arial" w:eastAsia="Arial" w:hAnsi="Arial"/>
          <w:b/>
          <w:bCs/>
          <w:color w:val="1F5C99"/>
          <w:sz w:val="24"/>
          <w:szCs w:val="24"/>
        </w:rPr>
        <w:t xml:space="preserve">3.1  Table and column annotation in Unity Catalog</w:t>
      </w:r>
    </w:p>
    <w:p>
      <w:pPr>
        <w:spacing w:after="60" w:before="60"/>
      </w:pPr>
      <w:r>
        <w:rPr>
          <w:rFonts w:ascii="Arial" w:cs="Arial" w:eastAsia="Arial" w:hAnsi="Arial"/>
          <w:color w:val="1A1A1A"/>
          <w:sz w:val="20"/>
          <w:szCs w:val="20"/>
        </w:rPr>
        <w:t xml:space="preserve">Annotation should happen in Unity Catalog, not inside the Genie space. Unity Catalog metadata is reusable across all spaces and tools. Space-level overrides should be reserved for edge cases where the UC description is wrong or insufficient for this specific audience.</w:t>
      </w:r>
    </w:p>
    <w:p>
      <w:pPr>
        <w:spacing w:after="0" w:before="4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1F5C99" w:val="clear"/>
            <w:tcMar>
              <w:top w:type="dxa" w:w="80"/>
              <w:left w:type="dxa" w:w="120"/>
              <w:bottom w:type="dxa" w:w="80"/>
              <w:right w:type="dxa" w:w="120"/>
            </w:tcMar>
          </w:tcPr>
          <w:p>
            <w:pPr>
              <w:spacing w:after="60" w:before="60"/>
            </w:pPr>
            <w:r>
              <w:rPr>
                <w:rFonts w:ascii="Arial" w:cs="Arial" w:eastAsia="Arial" w:hAnsi="Arial"/>
                <w:b/>
                <w:bCs/>
                <w:color w:val="FFFFFF"/>
                <w:sz w:val="18"/>
                <w:szCs w:val="18"/>
              </w:rPr>
              <w:t xml:space="preserve">What to annotate</w:t>
            </w:r>
          </w:p>
        </w:tc>
        <w:tc>
          <w:tcPr>
            <w:tcW w:type="dxa" w:w="6960"/>
            <w:tcBorders>
              <w:top w:val="single" w:color="DDDDDD" w:sz="1"/>
              <w:left w:val="single" w:color="DDDDDD" w:sz="1"/>
              <w:bottom w:val="single" w:color="DDDDDD" w:sz="1"/>
              <w:right w:val="single" w:color="DDDDDD" w:sz="1"/>
            </w:tcBorders>
            <w:shd w:fill="1F5C99" w:val="clear"/>
            <w:tcMar>
              <w:top w:type="dxa" w:w="80"/>
              <w:left w:type="dxa" w:w="120"/>
              <w:bottom w:type="dxa" w:w="80"/>
              <w:right w:type="dxa" w:w="120"/>
            </w:tcMar>
          </w:tcPr>
          <w:p>
            <w:pPr>
              <w:spacing w:after="60" w:before="60"/>
            </w:pPr>
            <w:r>
              <w:rPr>
                <w:rFonts w:ascii="Arial" w:cs="Arial" w:eastAsia="Arial" w:hAnsi="Arial"/>
                <w:b/>
                <w:bCs/>
                <w:color w:val="FFFFFF"/>
                <w:sz w:val="18"/>
                <w:szCs w:val="18"/>
              </w:rPr>
              <w:t xml:space="preserve">What good looks like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Table description</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One to three sentences: what the table contains, who it is for, any important caveats or date boundaries. Written in plain English.</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Column description</w:t>
            </w:r>
          </w:p>
        </w:tc>
        <w:tc>
          <w:tcPr>
            <w:tcW w:type="dxa" w:w="6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One sentence per column. Use the name a business user would recognize, not the technical column name. Note units (e.g. USD thousands), codes vs descriptions, and any nullability rules.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Primary and foreign keys</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Define these in the Unity Catalog schema. Genie auto-detects them and adds join relationships to the knowledge store automatically.</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Column names themselves</w:t>
            </w:r>
          </w:p>
        </w:tc>
        <w:tc>
          <w:tcPr>
            <w:tcW w:type="dxa" w:w="6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If a column is named acct_cd_type_2, rename it or alias it in your gold view to something like account_type. Genie reads names directly.</w:t>
            </w:r>
          </w:p>
        </w:tc>
      </w:tr>
    </w:tbl>
    <w:p>
      <w:pPr>
        <w:spacing w:after="0" w:before="8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B1A1A" w:sz="18"/>
              <w:bottom w:val="none" w:color="FFFFFF" w:sz="0"/>
              <w:right w:val="none" w:color="FFFFFF" w:sz="0"/>
            </w:tcBorders>
            <w:shd w:fill="FDECEA" w:val="clear"/>
            <w:tcMar>
              <w:top w:type="dxa" w:w="120"/>
              <w:left w:type="dxa" w:w="200"/>
              <w:bottom w:type="dxa" w:w="120"/>
              <w:right w:type="dxa" w:w="200"/>
            </w:tcMar>
          </w:tcPr>
          <w:p>
            <w:pPr>
              <w:spacing w:after="60" w:before="0"/>
            </w:pPr>
            <w:r>
              <w:rPr>
                <w:rFonts w:ascii="Arial" w:cs="Arial" w:eastAsia="Arial" w:hAnsi="Arial"/>
                <w:b/>
                <w:bCs/>
                <w:color w:val="7B1A1A"/>
                <w:sz w:val="20"/>
                <w:szCs w:val="20"/>
              </w:rPr>
              <w:t xml:space="preserve">⚠  Common Mistake to Avoid</w:t>
            </w:r>
          </w:p>
          <w:p>
            <w:pPr>
              <w:spacing w:after="60" w:before="60"/>
            </w:pPr>
            <w:r>
              <w:rPr>
                <w:rFonts w:ascii="Arial" w:cs="Arial" w:eastAsia="Arial" w:hAnsi="Arial"/>
                <w:color w:val="1A1A1A"/>
                <w:sz w:val="19"/>
                <w:szCs w:val="19"/>
              </w:rPr>
              <w:t xml:space="preserve">AI-generated column descriptions in Unity Catalog look convenient but are often vague or inaccurate. Always review them against what the column actually contains before relying on them. A wrong description is worse than no description.</w:t>
            </w:r>
          </w:p>
        </w:tc>
      </w:tr>
    </w:tbl>
    <w:p>
      <w:pPr>
        <w:spacing w:after="0" w:before="80"/>
      </w:pPr>
      <w:r>
        <w:rPr>
          <w:rFonts w:ascii="Arial" w:cs="Arial" w:eastAsia="Arial" w:hAnsi="Arial"/>
          <w:color w:val="1A1A1A"/>
          <w:sz w:val="20"/>
          <w:szCs w:val="20"/>
        </w:rPr>
        <w:t xml:space="preserve"/>
      </w:r>
    </w:p>
    <w:p>
      <w:pPr>
        <w:pStyle w:val="Heading2"/>
        <w:pBdr>
          <w:bottom w:val="single" w:color="D6E4F0" w:sz="4" w:space="3"/>
        </w:pBdr>
        <w:spacing w:after="100" w:before="320"/>
      </w:pPr>
      <w:r>
        <w:rPr>
          <w:rFonts w:ascii="Arial" w:cs="Arial" w:eastAsia="Arial" w:hAnsi="Arial"/>
          <w:b/>
          <w:bCs/>
          <w:color w:val="1F5C99"/>
          <w:sz w:val="24"/>
          <w:szCs w:val="24"/>
        </w:rPr>
        <w:t xml:space="preserve">3.2  Prompt matching: format assistance and entity matching</w:t>
      </w:r>
    </w:p>
    <w:p>
      <w:pPr>
        <w:spacing w:after="60" w:before="60"/>
      </w:pPr>
      <w:r>
        <w:rPr>
          <w:rFonts w:ascii="Arial" w:cs="Arial" w:eastAsia="Arial" w:hAnsi="Arial"/>
          <w:color w:val="1A1A1A"/>
          <w:sz w:val="20"/>
          <w:szCs w:val="20"/>
        </w:rPr>
        <w:t xml:space="preserve">Prompt matching is Genie's mechanism for bridging the gap between how users phrase things and how the data is stored. It has two components:</w:t>
      </w:r>
    </w:p>
    <w:p>
      <w:pPr>
        <w:spacing w:after="0" w:before="4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1F5C99" w:val="clear"/>
            <w:tcMar>
              <w:top w:type="dxa" w:w="80"/>
              <w:left w:type="dxa" w:w="120"/>
              <w:bottom w:type="dxa" w:w="80"/>
              <w:right w:type="dxa" w:w="120"/>
            </w:tcMar>
          </w:tcPr>
          <w:p>
            <w:pPr>
              <w:spacing w:after="60" w:before="60"/>
            </w:pPr>
            <w:r>
              <w:rPr>
                <w:rFonts w:ascii="Arial" w:cs="Arial" w:eastAsia="Arial" w:hAnsi="Arial"/>
                <w:b/>
                <w:bCs/>
                <w:color w:val="FFFFFF"/>
                <w:sz w:val="18"/>
                <w:szCs w:val="18"/>
              </w:rPr>
              <w:t xml:space="preserve">Feature</w:t>
            </w:r>
          </w:p>
        </w:tc>
        <w:tc>
          <w:tcPr>
            <w:tcW w:type="dxa" w:w="6760"/>
            <w:tcBorders>
              <w:top w:val="single" w:color="DDDDDD" w:sz="1"/>
              <w:left w:val="single" w:color="DDDDDD" w:sz="1"/>
              <w:bottom w:val="single" w:color="DDDDDD" w:sz="1"/>
              <w:right w:val="single" w:color="DDDDDD" w:sz="1"/>
            </w:tcBorders>
            <w:shd w:fill="1F5C99" w:val="clear"/>
            <w:tcMar>
              <w:top w:type="dxa" w:w="80"/>
              <w:left w:type="dxa" w:w="120"/>
              <w:bottom w:type="dxa" w:w="80"/>
              <w:right w:type="dxa" w:w="120"/>
            </w:tcMar>
          </w:tcPr>
          <w:p>
            <w:pPr>
              <w:spacing w:after="60" w:before="60"/>
            </w:pPr>
            <w:r>
              <w:rPr>
                <w:rFonts w:ascii="Arial" w:cs="Arial" w:eastAsia="Arial" w:hAnsi="Arial"/>
                <w:b/>
                <w:bCs/>
                <w:color w:val="FFFFFF"/>
                <w:sz w:val="18"/>
                <w:szCs w:val="18"/>
              </w:rPr>
              <w:t xml:space="preserve">What it does and when to configure it</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Format assistance (on by default)</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Samples representative values from columns so Genie understands data types and formats. Leave on for most columns. Turn off for columns with sensitive data, columns with row filters/column masks (these are excluded automatically), or high-cardinality free-text columns where sampling adds noise.</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Entity matching</w:t>
            </w:r>
          </w:p>
        </w:tc>
        <w:tc>
          <w:tcPr>
            <w:tcW w:type="dxa" w:w="6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Stores up to 1,024 distinct values per column, enabling Genie to map 'California' to 'CA' or 'Active' to '1'. Enable on all categorical string columns users are likely to filter on: status codes, product categories, department names, region codes. Up to 120 columns per space. Tables with row filters or column masks are excluded — you must manually disable for views that reference such tables.</w:t>
            </w:r>
          </w:p>
        </w:tc>
      </w:tr>
    </w:tbl>
    <w:p>
      <w:pPr>
        <w:spacing w:after="0" w:before="8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6B1A" w:sz="18"/>
              <w:bottom w:val="none" w:color="FFFFFF" w:sz="0"/>
              <w:right w:val="none" w:color="FFFFFF" w:sz="0"/>
            </w:tcBorders>
            <w:shd w:fill="E8F5E9" w:val="clear"/>
            <w:tcMar>
              <w:top w:type="dxa" w:w="120"/>
              <w:left w:type="dxa" w:w="200"/>
              <w:bottom w:type="dxa" w:w="120"/>
              <w:right w:type="dxa" w:w="200"/>
            </w:tcMar>
          </w:tcPr>
          <w:p>
            <w:pPr>
              <w:spacing w:after="60" w:before="0"/>
            </w:pPr>
            <w:r>
              <w:rPr>
                <w:rFonts w:ascii="Arial" w:cs="Arial" w:eastAsia="Arial" w:hAnsi="Arial"/>
                <w:b/>
                <w:bCs/>
                <w:color w:val="1A6B1A"/>
                <w:sz w:val="20"/>
                <w:szCs w:val="20"/>
              </w:rPr>
              <w:t xml:space="preserve">✓  Best Practice</w:t>
            </w:r>
          </w:p>
          <w:p>
            <w:pPr>
              <w:spacing w:after="60" w:before="60"/>
            </w:pPr>
            <w:r>
              <w:rPr>
                <w:rFonts w:ascii="Arial" w:cs="Arial" w:eastAsia="Arial" w:hAnsi="Arial"/>
                <w:color w:val="1A1A1A"/>
                <w:sz w:val="19"/>
                <w:szCs w:val="19"/>
              </w:rPr>
              <w:t xml:space="preserve">After adding a table, immediately review which columns have entity matching enabled. Enable it on every categorical column relevant to your benchmark questions. If the underlying data changes, remember to refresh the entity matching values.</w:t>
            </w:r>
          </w:p>
        </w:tc>
      </w:tr>
    </w:tbl>
    <w:p>
      <w:pPr>
        <w:spacing w:after="0" w:before="80"/>
      </w:pPr>
      <w:r>
        <w:rPr>
          <w:rFonts w:ascii="Arial" w:cs="Arial" w:eastAsia="Arial" w:hAnsi="Arial"/>
          <w:color w:val="1A1A1A"/>
          <w:sz w:val="20"/>
          <w:szCs w:val="20"/>
        </w:rPr>
        <w:t xml:space="preserve"/>
      </w:r>
    </w:p>
    <w:p>
      <w:pPr>
        <w:pStyle w:val="Heading2"/>
        <w:pBdr>
          <w:bottom w:val="single" w:color="D6E4F0" w:sz="4" w:space="3"/>
        </w:pBdr>
        <w:spacing w:after="100" w:before="320"/>
      </w:pPr>
      <w:r>
        <w:rPr>
          <w:rFonts w:ascii="Arial" w:cs="Arial" w:eastAsia="Arial" w:hAnsi="Arial"/>
          <w:b/>
          <w:bCs/>
          <w:color w:val="1F5C99"/>
          <w:sz w:val="24"/>
          <w:szCs w:val="24"/>
        </w:rPr>
        <w:t xml:space="preserve">3.3  Column removal vs. hiding</w:t>
      </w:r>
    </w:p>
    <w:p>
      <w:pPr>
        <w:spacing w:after="60" w:before="60"/>
      </w:pPr>
      <w:r>
        <w:rPr>
          <w:rFonts w:ascii="Arial" w:cs="Arial" w:eastAsia="Arial" w:hAnsi="Arial"/>
          <w:color w:val="1A1A1A"/>
          <w:sz w:val="20"/>
          <w:szCs w:val="20"/>
        </w:rPr>
        <w:t xml:space="preserve">Not every column in a source table belongs in a Genie space. There are two ways to remove a column from Genie's view: remove it from the gold view itself, or hide it inside the Genie space. These are not equivalent — one is significantly better than the other.</w:t>
      </w:r>
    </w:p>
    <w:p>
      <w:pPr>
        <w:spacing w:after="0" w:before="4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1F5C99" w:val="clear"/>
            <w:tcMar>
              <w:top w:type="dxa" w:w="80"/>
              <w:left w:type="dxa" w:w="120"/>
              <w:bottom w:type="dxa" w:w="80"/>
              <w:right w:type="dxa" w:w="120"/>
            </w:tcMar>
          </w:tcPr>
          <w:p>
            <w:pPr>
              <w:spacing w:after="60" w:before="60"/>
            </w:pPr>
            <w:r>
              <w:rPr>
                <w:rFonts w:ascii="Arial" w:cs="Arial" w:eastAsia="Arial" w:hAnsi="Arial"/>
                <w:b/>
                <w:bCs/>
                <w:color w:val="FFFFFF"/>
                <w:sz w:val="18"/>
                <w:szCs w:val="18"/>
              </w:rPr>
              <w:t xml:space="preserve">Method</w:t>
            </w:r>
          </w:p>
        </w:tc>
        <w:tc>
          <w:tcPr>
            <w:tcW w:type="dxa" w:w="6760"/>
            <w:tcBorders>
              <w:top w:val="single" w:color="DDDDDD" w:sz="1"/>
              <w:left w:val="single" w:color="DDDDDD" w:sz="1"/>
              <w:bottom w:val="single" w:color="DDDDDD" w:sz="1"/>
              <w:right w:val="single" w:color="DDDDDD" w:sz="1"/>
            </w:tcBorders>
            <w:shd w:fill="1F5C99" w:val="clear"/>
            <w:tcMar>
              <w:top w:type="dxa" w:w="80"/>
              <w:left w:type="dxa" w:w="120"/>
              <w:bottom w:type="dxa" w:w="80"/>
              <w:right w:type="dxa" w:w="120"/>
            </w:tcMar>
          </w:tcPr>
          <w:p>
            <w:pPr>
              <w:spacing w:after="60" w:before="60"/>
            </w:pPr>
            <w:r>
              <w:rPr>
                <w:rFonts w:ascii="Arial" w:cs="Arial" w:eastAsia="Arial" w:hAnsi="Arial"/>
                <w:b/>
                <w:bCs/>
                <w:color w:val="FFFFFF"/>
                <w:sz w:val="18"/>
                <w:szCs w:val="18"/>
              </w:rPr>
              <w:t xml:space="preserve">What it does and when to use it</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Remove from the gold view (preferred)</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The column never reaches Genie at all. It consumes no token budget — token budget is calculated from the schema Genie reads, so columns that do not exist in the view do not count. The decision is encoded once in tested, version-controlled SQL and benefits every consumer of that view, not just this Genie space. This is the right default.</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Hide inside the Genie space (fallback only)</w:t>
            </w:r>
          </w:p>
        </w:tc>
        <w:tc>
          <w:tcPr>
            <w:tcW w:type="dxa" w:w="6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Suppresses the column in the space UI and instructs Genie not to use it, but the column still exists in the underlying view and its name and data type still appear in the schema Genie loads — contributing to token usage. Hiding is appropriate only when the column has legitimate uses in other spaces or tools and you cannot or should not remove it from the shared view.</w:t>
            </w:r>
          </w:p>
        </w:tc>
      </w:tr>
    </w:tbl>
    <w:p>
      <w:pPr>
        <w:spacing w:after="0" w:before="80"/>
      </w:pPr>
      <w:r>
        <w:rPr>
          <w:rFonts w:ascii="Arial" w:cs="Arial" w:eastAsia="Arial" w:hAnsi="Arial"/>
          <w:color w:val="1A1A1A"/>
          <w:sz w:val="20"/>
          <w:szCs w:val="20"/>
        </w:rPr>
        <w:t xml:space="preserve"/>
      </w:r>
    </w:p>
    <w:p>
      <w:pPr>
        <w:spacing w:after="80" w:before="200"/>
      </w:pPr>
      <w:r>
        <w:rPr>
          <w:rFonts w:ascii="Arial" w:cs="Arial" w:eastAsia="Arial" w:hAnsi="Arial"/>
          <w:b/>
          <w:bCs/>
          <w:color w:val="1A1A1A"/>
          <w:sz w:val="21"/>
          <w:szCs w:val="21"/>
        </w:rPr>
        <w:t xml:space="preserve">Understanding the token budget</w:t>
      </w:r>
    </w:p>
    <w:p>
      <w:pPr>
        <w:spacing w:after="60" w:before="60"/>
      </w:pPr>
      <w:r>
        <w:rPr>
          <w:rFonts w:ascii="Arial" w:cs="Arial" w:eastAsia="Arial" w:hAnsi="Arial"/>
          <w:color w:val="1A1A1A"/>
          <w:sz w:val="20"/>
          <w:szCs w:val="20"/>
        </w:rPr>
        <w:t xml:space="preserve">Every piece of information Genie loads — table descriptions, column names, column descriptions, instructions, and metadata — is converted into tokens. Genie has a finite token budget per conversation. When that budget is exhausted, Genie stops working entirely. Warning signs appear before this point, and response quality degrades as the budget is approached because Genie begins filtering out context it judges less relevant.</w:t>
      </w:r>
    </w:p>
    <w:p>
      <w:pPr>
        <w:spacing w:after="0" w:before="40"/>
      </w:pPr>
      <w:r>
        <w:rPr>
          <w:rFonts w:ascii="Arial" w:cs="Arial" w:eastAsia="Arial" w:hAnsi="Arial"/>
          <w:color w:val="1A1A1A"/>
          <w:sz w:val="20"/>
          <w:szCs w:val="20"/>
        </w:rPr>
        <w:t xml:space="preserve"/>
      </w:r>
    </w:p>
    <w:p>
      <w:pPr>
        <w:spacing w:after="60" w:before="60"/>
      </w:pPr>
      <w:r>
        <w:rPr>
          <w:rFonts w:ascii="Arial" w:cs="Arial" w:eastAsia="Arial" w:hAnsi="Arial"/>
          <w:color w:val="1A1A1A"/>
          <w:sz w:val="20"/>
          <w:szCs w:val="20"/>
        </w:rPr>
        <w:t xml:space="preserve">The most effective ways to protect the token budget, in order of impact:</w:t>
      </w:r>
    </w:p>
    <w:p>
      <w:pPr>
        <w:pStyle w:val="ListParagraph"/>
        <w:numPr>
          <w:ilvl w:val="0"/>
          <w:numId w:val="2"/>
        </w:numPr>
        <w:spacing w:after="60" w:before="60"/>
      </w:pPr>
      <w:r>
        <w:rPr>
          <w:rFonts w:ascii="Arial" w:cs="Arial" w:eastAsia="Arial" w:hAnsi="Arial"/>
          <w:b/>
          <w:bCs/>
          <w:color w:val="1A1A1A"/>
          <w:sz w:val="20"/>
          <w:szCs w:val="20"/>
        </w:rPr>
        <w:t xml:space="preserve">Remove unneeded columns from the gold view entirely</w:t>
      </w:r>
      <w:r>
        <w:rPr>
          <w:rFonts w:ascii="Arial" w:cs="Arial" w:eastAsia="Arial" w:hAnsi="Arial"/>
          <w:color w:val="1A1A1A"/>
          <w:sz w:val="20"/>
          <w:szCs w:val="20"/>
        </w:rPr>
        <w:t xml:space="preserve"> — not present in the schema means zero token cost.</w:t>
      </w:r>
    </w:p>
    <w:p>
      <w:pPr>
        <w:pStyle w:val="ListParagraph"/>
        <w:numPr>
          <w:ilvl w:val="0"/>
          <w:numId w:val="2"/>
        </w:numPr>
        <w:spacing w:after="60" w:before="60"/>
      </w:pPr>
      <w:r>
        <w:rPr>
          <w:rFonts w:ascii="Arial" w:cs="Arial" w:eastAsia="Arial" w:hAnsi="Arial"/>
          <w:b/>
          <w:bCs/>
          <w:color w:val="1A1A1A"/>
          <w:sz w:val="20"/>
          <w:szCs w:val="20"/>
        </w:rPr>
        <w:t xml:space="preserve">Hide columns inside the space</w:t>
      </w:r>
      <w:r>
        <w:rPr>
          <w:rFonts w:ascii="Arial" w:cs="Arial" w:eastAsia="Arial" w:hAnsi="Arial"/>
          <w:color w:val="1A1A1A"/>
          <w:sz w:val="20"/>
          <w:szCs w:val="20"/>
        </w:rPr>
        <w:t xml:space="preserve"> — reduces Genie's use of them but does not fully eliminate their token cost.</w:t>
      </w:r>
    </w:p>
    <w:p>
      <w:pPr>
        <w:pStyle w:val="ListParagraph"/>
        <w:numPr>
          <w:ilvl w:val="0"/>
          <w:numId w:val="2"/>
        </w:numPr>
        <w:spacing w:after="60" w:before="60"/>
      </w:pPr>
      <w:r>
        <w:rPr>
          <w:rFonts w:ascii="Arial" w:cs="Arial" w:eastAsia="Arial" w:hAnsi="Arial"/>
          <w:b/>
          <w:bCs/>
          <w:color w:val="1A1A1A"/>
          <w:sz w:val="20"/>
          <w:szCs w:val="20"/>
        </w:rPr>
        <w:t xml:space="preserve">Streamline column descriptions</w:t>
      </w:r>
      <w:r>
        <w:rPr>
          <w:rFonts w:ascii="Arial" w:cs="Arial" w:eastAsia="Arial" w:hAnsi="Arial"/>
          <w:color w:val="1A1A1A"/>
          <w:sz w:val="20"/>
          <w:szCs w:val="20"/>
        </w:rPr>
        <w:t xml:space="preserve"> — do not duplicate information already conveyed by a clear column name.</w:t>
      </w:r>
    </w:p>
    <w:p>
      <w:pPr>
        <w:pStyle w:val="ListParagraph"/>
        <w:numPr>
          <w:ilvl w:val="0"/>
          <w:numId w:val="2"/>
        </w:numPr>
        <w:spacing w:after="60" w:before="60"/>
      </w:pPr>
      <w:r>
        <w:rPr>
          <w:rFonts w:ascii="Arial" w:cs="Arial" w:eastAsia="Arial" w:hAnsi="Arial"/>
          <w:b/>
          <w:bCs/>
          <w:color w:val="1A1A1A"/>
          <w:sz w:val="20"/>
          <w:szCs w:val="20"/>
        </w:rPr>
        <w:t xml:space="preserve">Prune redundant example SQL queries</w:t>
      </w:r>
      <w:r>
        <w:rPr>
          <w:rFonts w:ascii="Arial" w:cs="Arial" w:eastAsia="Arial" w:hAnsi="Arial"/>
          <w:color w:val="1A1A1A"/>
          <w:sz w:val="20"/>
          <w:szCs w:val="20"/>
        </w:rPr>
        <w:t xml:space="preserve"> — overlapping examples add token cost without adding accuracy.</w:t>
      </w:r>
    </w:p>
    <w:p>
      <w:pPr>
        <w:pStyle w:val="ListParagraph"/>
        <w:numPr>
          <w:ilvl w:val="0"/>
          <w:numId w:val="2"/>
        </w:numPr>
        <w:spacing w:after="60" w:before="60"/>
      </w:pPr>
      <w:r>
        <w:rPr>
          <w:rFonts w:ascii="Arial" w:cs="Arial" w:eastAsia="Arial" w:hAnsi="Arial"/>
          <w:b/>
          <w:bCs/>
          <w:color w:val="1A1A1A"/>
          <w:sz w:val="20"/>
          <w:szCs w:val="20"/>
        </w:rPr>
        <w:t xml:space="preserve">Shorten text instructions</w:t>
      </w:r>
      <w:r>
        <w:rPr>
          <w:rFonts w:ascii="Arial" w:cs="Arial" w:eastAsia="Arial" w:hAnsi="Arial"/>
          <w:color w:val="1A1A1A"/>
          <w:sz w:val="20"/>
          <w:szCs w:val="20"/>
        </w:rPr>
        <w:t xml:space="preserve"> — every instruction that can be replaced with a SQL expression should be.</w:t>
      </w:r>
    </w:p>
    <w:p>
      <w:pPr>
        <w:pStyle w:val="ListParagraph"/>
        <w:numPr>
          <w:ilvl w:val="0"/>
          <w:numId w:val="2"/>
        </w:numPr>
        <w:spacing w:after="60" w:before="60"/>
      </w:pPr>
      <w:r>
        <w:rPr>
          <w:rFonts w:ascii="Arial" w:cs="Arial" w:eastAsia="Arial" w:hAnsi="Arial"/>
          <w:b/>
          <w:bCs/>
          <w:color w:val="1A1A1A"/>
          <w:sz w:val="20"/>
          <w:szCs w:val="20"/>
        </w:rPr>
        <w:t xml:space="preserve">Split an overly broad space into two focused spaces</w:t>
      </w:r>
      <w:r>
        <w:rPr>
          <w:rFonts w:ascii="Arial" w:cs="Arial" w:eastAsia="Arial" w:hAnsi="Arial"/>
          <w:color w:val="1A1A1A"/>
          <w:sz w:val="20"/>
          <w:szCs w:val="20"/>
        </w:rPr>
        <w:t xml:space="preserve"> — if the token warning appears even after the above steps, the scope is too wide.</w:t>
      </w:r>
    </w:p>
    <w:p>
      <w:pPr>
        <w:spacing w:after="0" w:before="8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B1A1A" w:sz="18"/>
              <w:bottom w:val="none" w:color="FFFFFF" w:sz="0"/>
              <w:right w:val="none" w:color="FFFFFF" w:sz="0"/>
            </w:tcBorders>
            <w:shd w:fill="FDECEA" w:val="clear"/>
            <w:tcMar>
              <w:top w:type="dxa" w:w="120"/>
              <w:left w:type="dxa" w:w="200"/>
              <w:bottom w:type="dxa" w:w="120"/>
              <w:right w:type="dxa" w:w="200"/>
            </w:tcMar>
          </w:tcPr>
          <w:p>
            <w:pPr>
              <w:spacing w:after="60" w:before="0"/>
            </w:pPr>
            <w:r>
              <w:rPr>
                <w:rFonts w:ascii="Arial" w:cs="Arial" w:eastAsia="Arial" w:hAnsi="Arial"/>
                <w:b/>
                <w:bCs/>
                <w:color w:val="7B1A1A"/>
                <w:sz w:val="20"/>
                <w:szCs w:val="20"/>
              </w:rPr>
              <w:t xml:space="preserve">⚠  Common Mistake to Avoid</w:t>
            </w:r>
          </w:p>
          <w:p>
            <w:pPr>
              <w:spacing w:after="60" w:before="60"/>
            </w:pPr>
            <w:r>
              <w:rPr>
                <w:rFonts w:ascii="Arial" w:cs="Arial" w:eastAsia="Arial" w:hAnsi="Arial"/>
                <w:color w:val="1A1A1A"/>
                <w:sz w:val="19"/>
                <w:szCs w:val="19"/>
              </w:rPr>
              <w:t xml:space="preserve">There is also a hard limit of 100 instructions per Genie space (covering example SQL queries, UC functions, and text instructions combined). If your instruction count is approaching this limit, it is a strong signal that the space is trying to do too much and that root causes — data model complexity, poor metadata, missing SQL expressions — have not been addressed.</w:t>
            </w:r>
          </w:p>
        </w:tc>
      </w:tr>
    </w:tbl>
    <w:p>
      <w:pPr>
        <w:spacing w:after="0" w:before="80"/>
      </w:pPr>
      <w:r>
        <w:rPr>
          <w:rFonts w:ascii="Arial" w:cs="Arial" w:eastAsia="Arial" w:hAnsi="Arial"/>
          <w:color w:val="1A1A1A"/>
          <w:sz w:val="20"/>
          <w:szCs w:val="20"/>
        </w:rPr>
        <w:t xml:space="preserve"/>
      </w:r>
    </w:p>
    <w:p>
      <w:pPr>
        <w:pStyle w:val="Heading2"/>
        <w:pBdr>
          <w:bottom w:val="single" w:color="D6E4F0" w:sz="4" w:space="3"/>
        </w:pBdr>
        <w:spacing w:after="100" w:before="320"/>
      </w:pPr>
      <w:r>
        <w:rPr>
          <w:rFonts w:ascii="Arial" w:cs="Arial" w:eastAsia="Arial" w:hAnsi="Arial"/>
          <w:b/>
          <w:bCs/>
          <w:color w:val="1F5C99"/>
          <w:sz w:val="24"/>
          <w:szCs w:val="24"/>
        </w:rPr>
        <w:t xml:space="preserve">3.4  Query suggestions at space creation</w:t>
      </w:r>
    </w:p>
    <w:p>
      <w:pPr>
        <w:spacing w:after="60" w:before="60"/>
      </w:pPr>
      <w:r>
        <w:rPr>
          <w:rFonts w:ascii="Arial" w:cs="Arial" w:eastAsia="Arial" w:hAnsi="Arial"/>
          <w:color w:val="1A1A1A"/>
          <w:sz w:val="20"/>
          <w:szCs w:val="20"/>
        </w:rPr>
        <w:t xml:space="preserve">When you add tables to a new Genie space, Databricks automatically searches for popular existing workspace queries associated with those tables. If relevant queries are found, a notification appears in the Data tab prompting you to review them. This is a useful shortcut — if good SQL already exists in your workspace against these tables, it can be reviewed, edited, and accepted as example SQL without starting from scratch. Check for these suggestions immediately after adding your tables and before building the knowledge store manually.</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5C99" w:val="clear"/>
            <w:tcMar>
              <w:top w:type="dxa" w:w="160"/>
              <w:left w:type="dxa" w:w="240"/>
              <w:bottom w:type="dxa" w:w="160"/>
              <w:right w:type="dxa" w:w="240"/>
            </w:tcMar>
          </w:tcPr>
          <w:p>
            <w:pPr>
              <w:spacing w:after="60" w:before="0"/>
            </w:pPr>
            <w:r>
              <w:rPr>
                <w:rFonts w:ascii="Arial" w:cs="Arial" w:eastAsia="Arial" w:hAnsi="Arial"/>
                <w:b/>
                <w:bCs/>
                <w:color w:val="C8DCF0"/>
                <w:sz w:val="28"/>
                <w:szCs w:val="28"/>
              </w:rPr>
              <w:t xml:space="preserve">4  </w:t>
            </w:r>
            <w:r>
              <w:rPr>
                <w:rFonts w:ascii="Arial" w:cs="Arial" w:eastAsia="Arial" w:hAnsi="Arial"/>
                <w:b/>
                <w:bCs/>
                <w:color w:val="FFFFFF"/>
                <w:sz w:val="28"/>
                <w:szCs w:val="28"/>
              </w:rPr>
              <w:t xml:space="preserve">Building the Knowledge Store</w:t>
            </w:r>
          </w:p>
          <w:p>
            <w:pPr>
              <w:spacing w:after="0" w:before="0"/>
            </w:pPr>
            <w:r>
              <w:rPr>
                <w:rFonts w:ascii="Arial" w:cs="Arial" w:eastAsia="Arial" w:hAnsi="Arial"/>
                <w:i/>
                <w:iCs/>
                <w:color w:val="C8DCF0"/>
                <w:sz w:val="18"/>
                <w:szCs w:val="18"/>
              </w:rPr>
              <w:t xml:space="preserve">The right tool for the right job — in priority order</w:t>
            </w:r>
          </w:p>
        </w:tc>
      </w:tr>
    </w:tbl>
    <w:p>
      <w:pPr>
        <w:spacing w:after="0" w:before="80"/>
      </w:pPr>
      <w:r>
        <w:rPr>
          <w:rFonts w:ascii="Arial" w:cs="Arial" w:eastAsia="Arial" w:hAnsi="Arial"/>
          <w:color w:val="1A1A1A"/>
          <w:sz w:val="20"/>
          <w:szCs w:val="20"/>
        </w:rPr>
        <w:t xml:space="preserve"/>
      </w:r>
    </w:p>
    <w:p>
      <w:pPr>
        <w:spacing w:after="60" w:before="60"/>
      </w:pPr>
      <w:r>
        <w:rPr>
          <w:rFonts w:ascii="Arial" w:cs="Arial" w:eastAsia="Arial" w:hAnsi="Arial"/>
          <w:color w:val="1A1A1A"/>
          <w:sz w:val="20"/>
          <w:szCs w:val="20"/>
        </w:rPr>
        <w:t xml:space="preserve">The knowledge store is where you encode business intelligence that cannot be expressed through data engineering alone. There are six tools available. They have a strict priority order, and using a lower-priority tool when a higher-priority one would work is the most common source of unreliable spaces.</w:t>
      </w:r>
    </w:p>
    <w:p>
      <w:pPr>
        <w:spacing w:after="0" w:before="4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B1A1A" w:sz="18"/>
              <w:bottom w:val="none" w:color="FFFFFF" w:sz="0"/>
              <w:right w:val="none" w:color="FFFFFF" w:sz="0"/>
            </w:tcBorders>
            <w:shd w:fill="FDECEA" w:val="clear"/>
            <w:tcMar>
              <w:top w:type="dxa" w:w="120"/>
              <w:left w:type="dxa" w:w="200"/>
              <w:bottom w:type="dxa" w:w="120"/>
              <w:right w:type="dxa" w:w="200"/>
            </w:tcMar>
          </w:tcPr>
          <w:p>
            <w:pPr>
              <w:spacing w:after="60" w:before="0"/>
            </w:pPr>
            <w:r>
              <w:rPr>
                <w:rFonts w:ascii="Arial" w:cs="Arial" w:eastAsia="Arial" w:hAnsi="Arial"/>
                <w:b/>
                <w:bCs/>
                <w:color w:val="7B1A1A"/>
                <w:sz w:val="20"/>
                <w:szCs w:val="20"/>
              </w:rPr>
              <w:t xml:space="preserve">The Golden Rule of Knowledge Store Curation</w:t>
            </w:r>
          </w:p>
          <w:p>
            <w:pPr>
              <w:spacing w:after="60" w:before="60"/>
            </w:pPr>
            <w:r>
              <w:rPr>
                <w:rFonts w:ascii="Arial" w:cs="Arial" w:eastAsia="Arial" w:hAnsi="Arial"/>
                <w:color w:val="1A1A1A"/>
                <w:sz w:val="19"/>
                <w:szCs w:val="19"/>
              </w:rPr>
              <w:t xml:space="preserve">If you find yourself writing SQL logic in a text instruction, stop. That logic belongs in a gold view, a SQL expression, or an example SQL query — not in a paragraph that Genie may deprioritize or misinterpret as the conversation grows longer.</w:t>
            </w:r>
          </w:p>
        </w:tc>
      </w:tr>
    </w:tbl>
    <w:p>
      <w:pPr>
        <w:spacing w:after="0" w:before="80"/>
      </w:pPr>
      <w:r>
        <w:rPr>
          <w:rFonts w:ascii="Arial" w:cs="Arial" w:eastAsia="Arial" w:hAnsi="Arial"/>
          <w:color w:val="1A1A1A"/>
          <w:sz w:val="20"/>
          <w:szCs w:val="20"/>
        </w:rPr>
        <w:t xml:space="preserve"/>
      </w:r>
    </w:p>
    <w:p>
      <w:pPr>
        <w:pStyle w:val="Heading2"/>
        <w:pBdr>
          <w:bottom w:val="single" w:color="D6E4F0" w:sz="4" w:space="3"/>
        </w:pBdr>
        <w:spacing w:after="100" w:before="320"/>
      </w:pPr>
      <w:r>
        <w:rPr>
          <w:rFonts w:ascii="Arial" w:cs="Arial" w:eastAsia="Arial" w:hAnsi="Arial"/>
          <w:b/>
          <w:bCs/>
          <w:color w:val="1F5C99"/>
          <w:sz w:val="24"/>
          <w:szCs w:val="24"/>
        </w:rPr>
        <w:t xml:space="preserve">4.1  Decision framework: which tool to use</w:t>
      </w:r>
    </w:p>
    <w:p>
      <w:pPr>
        <w:spacing w:after="0" w:before="4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80"/>
        <w:gridCol w:w="3680"/>
      </w:tblGrid>
      <w:tr>
        <w:tc>
          <w:tcPr>
            <w:tcW w:type="dxa" w:w="2200"/>
            <w:tcBorders>
              <w:top w:val="single" w:color="DDDDDD" w:sz="1"/>
              <w:left w:val="single" w:color="DDDDDD" w:sz="1"/>
              <w:bottom w:val="single" w:color="DDDDDD" w:sz="1"/>
              <w:right w:val="single" w:color="DDDDDD" w:sz="1"/>
            </w:tcBorders>
            <w:shd w:fill="1F5C99" w:val="clear"/>
            <w:tcMar>
              <w:top w:type="dxa" w:w="80"/>
              <w:left w:type="dxa" w:w="120"/>
              <w:bottom w:type="dxa" w:w="80"/>
              <w:right w:type="dxa" w:w="120"/>
            </w:tcMar>
          </w:tcPr>
          <w:p>
            <w:pPr>
              <w:spacing w:after="60" w:before="60"/>
            </w:pPr>
            <w:r>
              <w:rPr>
                <w:rFonts w:ascii="Arial" w:cs="Arial" w:eastAsia="Arial" w:hAnsi="Arial"/>
                <w:b/>
                <w:bCs/>
                <w:color w:val="FFFFFF"/>
                <w:sz w:val="18"/>
                <w:szCs w:val="18"/>
              </w:rPr>
              <w:t xml:space="preserve">Tool</w:t>
            </w:r>
          </w:p>
        </w:tc>
        <w:tc>
          <w:tcPr>
            <w:tcW w:type="dxa" w:w="3480"/>
            <w:tcBorders>
              <w:top w:val="single" w:color="DDDDDD" w:sz="1"/>
              <w:left w:val="single" w:color="DDDDDD" w:sz="1"/>
              <w:bottom w:val="single" w:color="DDDDDD" w:sz="1"/>
              <w:right w:val="single" w:color="DDDDDD" w:sz="1"/>
            </w:tcBorders>
            <w:shd w:fill="1F5C99" w:val="clear"/>
            <w:tcMar>
              <w:top w:type="dxa" w:w="80"/>
              <w:left w:type="dxa" w:w="120"/>
              <w:bottom w:type="dxa" w:w="80"/>
              <w:right w:type="dxa" w:w="120"/>
            </w:tcMar>
          </w:tcPr>
          <w:p>
            <w:pPr>
              <w:spacing w:after="60" w:before="60"/>
            </w:pPr>
            <w:r>
              <w:rPr>
                <w:rFonts w:ascii="Arial" w:cs="Arial" w:eastAsia="Arial" w:hAnsi="Arial"/>
                <w:b/>
                <w:bCs/>
                <w:color w:val="FFFFFF"/>
                <w:sz w:val="18"/>
                <w:szCs w:val="18"/>
              </w:rPr>
              <w:t xml:space="preserve">Use it when...</w:t>
            </w:r>
          </w:p>
        </w:tc>
        <w:tc>
          <w:tcPr>
            <w:tcW w:type="dxa" w:w="3680"/>
            <w:tcBorders>
              <w:top w:val="single" w:color="DDDDDD" w:sz="1"/>
              <w:left w:val="single" w:color="DDDDDD" w:sz="1"/>
              <w:bottom w:val="single" w:color="DDDDDD" w:sz="1"/>
              <w:right w:val="single" w:color="DDDDDD" w:sz="1"/>
            </w:tcBorders>
            <w:shd w:fill="1F5C99" w:val="clear"/>
            <w:tcMar>
              <w:top w:type="dxa" w:w="80"/>
              <w:left w:type="dxa" w:w="120"/>
              <w:bottom w:type="dxa" w:w="80"/>
              <w:right w:type="dxa" w:w="120"/>
            </w:tcMar>
          </w:tcPr>
          <w:p>
            <w:pPr>
              <w:spacing w:after="60" w:before="60"/>
            </w:pPr>
            <w:r>
              <w:rPr>
                <w:rFonts w:ascii="Arial" w:cs="Arial" w:eastAsia="Arial" w:hAnsi="Arial"/>
                <w:b/>
                <w:bCs/>
                <w:color w:val="FFFFFF"/>
                <w:sz w:val="18"/>
                <w:szCs w:val="18"/>
              </w:rPr>
              <w:t xml:space="preserve">Do NOT use it when...</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Gold view / metric view
(data engineering)</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Complex joins, COALESCE logic, business filters, fiscal calendar definitions, code-to-description mappings, standing date boundaries.</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The logic is truly one-off or exploratory — but even then, prefer a view.</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Join relationships
(knowledge store)</w:t>
            </w:r>
          </w:p>
        </w:tc>
        <w:tc>
          <w:tcPr>
            <w:tcW w:type="dxa" w:w="34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FK relationships not defined in Unity Catalog schema. Self-joins. Complex join conditions with multiple predicates.</w:t>
            </w:r>
          </w:p>
        </w:tc>
        <w:tc>
          <w:tcPr>
            <w:tcW w:type="dxa" w:w="3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A gold view can already eliminate the join entirely.</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SQL expressions
(measures, filters, dimensions)</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Defining reusable KPIs (revenue, utilization rate, margin). Common filter conditions (active loans, current quarter). Derived dimensions (fiscal month, customer segment).</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The expression is so complex it needs a multi-step query — use example SQL instead.</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Unity Catalog functions
(UC UDFs)</w:t>
            </w:r>
          </w:p>
        </w:tc>
        <w:tc>
          <w:tcPr>
            <w:tcW w:type="dxa" w:w="34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Complex reusable logic that benefits multiple spaces or tools. Parameterized queries that need to accept user-supplied values at runtime. Mission-critical questions where a 'Trusted' badge matters to non-technical users.</w:t>
            </w:r>
          </w:p>
        </w:tc>
        <w:tc>
          <w:tcPr>
            <w:tcW w:type="dxa" w:w="3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Simple metric definitions that a SQL expression handles fine.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Example SQL queries</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Multi-step or hard-to-interpret questions. Queries that combine several business concepts. Teaching Genie a specific prompt pattern like 'breakdown performance by team'.</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The question is simple enough for Genie to handle from metadata alone.</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Text instructions</w:t>
            </w:r>
          </w:p>
        </w:tc>
        <w:tc>
          <w:tcPr>
            <w:tcW w:type="dxa" w:w="34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Natural language guidance that cannot be expressed in SQL: clarification prompts, summary formatting rules, business jargon with no SQL equivalent.</w:t>
            </w:r>
          </w:p>
        </w:tc>
        <w:tc>
          <w:tcPr>
            <w:tcW w:type="dxa" w:w="3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Anything that can be expressed as SQL. Never use for join logic, metric calculations, or date boundaries.</w:t>
            </w:r>
          </w:p>
        </w:tc>
      </w:tr>
    </w:tbl>
    <w:p>
      <w:pPr>
        <w:spacing w:after="0" w:before="80"/>
      </w:pPr>
      <w:r>
        <w:rPr>
          <w:rFonts w:ascii="Arial" w:cs="Arial" w:eastAsia="Arial" w:hAnsi="Arial"/>
          <w:color w:val="1A1A1A"/>
          <w:sz w:val="20"/>
          <w:szCs w:val="20"/>
        </w:rPr>
        <w:t xml:space="preserve"/>
      </w:r>
    </w:p>
    <w:p>
      <w:pPr>
        <w:pStyle w:val="Heading2"/>
        <w:pBdr>
          <w:bottom w:val="single" w:color="D6E4F0" w:sz="4" w:space="3"/>
        </w:pBdr>
        <w:spacing w:after="100" w:before="320"/>
      </w:pPr>
      <w:r>
        <w:rPr>
          <w:rFonts w:ascii="Arial" w:cs="Arial" w:eastAsia="Arial" w:hAnsi="Arial"/>
          <w:b/>
          <w:bCs/>
          <w:color w:val="1F5C99"/>
          <w:sz w:val="24"/>
          <w:szCs w:val="24"/>
        </w:rPr>
        <w:t xml:space="preserve">4.2  SQL expressions: measures, filters, and dimensions</w:t>
      </w:r>
    </w:p>
    <w:p>
      <w:pPr>
        <w:spacing w:after="60" w:before="60"/>
      </w:pPr>
      <w:r>
        <w:rPr>
          <w:rFonts w:ascii="Arial" w:cs="Arial" w:eastAsia="Arial" w:hAnsi="Arial"/>
          <w:color w:val="1A1A1A"/>
          <w:sz w:val="20"/>
          <w:szCs w:val="20"/>
        </w:rPr>
        <w:t xml:space="preserve">SQL expressions define reusable business concepts in the knowledge store. They are more reliable than text instructions because they are structured, not interpreted. Each expression has a name, a SQL definition, and synonyms — the terms a user might say when referring to it.</w:t>
      </w:r>
    </w:p>
    <w:p>
      <w:pPr>
        <w:spacing w:after="0" w:before="4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1F5C99" w:val="clear"/>
            <w:tcMar>
              <w:top w:type="dxa" w:w="80"/>
              <w:left w:type="dxa" w:w="120"/>
              <w:bottom w:type="dxa" w:w="80"/>
              <w:right w:type="dxa" w:w="120"/>
            </w:tcMar>
          </w:tcPr>
          <w:p>
            <w:pPr>
              <w:spacing w:after="60" w:before="60"/>
            </w:pPr>
            <w:r>
              <w:rPr>
                <w:rFonts w:ascii="Arial" w:cs="Arial" w:eastAsia="Arial" w:hAnsi="Arial"/>
                <w:b/>
                <w:bCs/>
                <w:color w:val="FFFFFF"/>
                <w:sz w:val="18"/>
                <w:szCs w:val="18"/>
              </w:rPr>
              <w:t xml:space="preserve">Expression type</w:t>
            </w:r>
          </w:p>
        </w:tc>
        <w:tc>
          <w:tcPr>
            <w:tcW w:type="dxa" w:w="6960"/>
            <w:tcBorders>
              <w:top w:val="single" w:color="DDDDDD" w:sz="1"/>
              <w:left w:val="single" w:color="DDDDDD" w:sz="1"/>
              <w:bottom w:val="single" w:color="DDDDDD" w:sz="1"/>
              <w:right w:val="single" w:color="DDDDDD" w:sz="1"/>
            </w:tcBorders>
            <w:shd w:fill="1F5C99" w:val="clear"/>
            <w:tcMar>
              <w:top w:type="dxa" w:w="80"/>
              <w:left w:type="dxa" w:w="120"/>
              <w:bottom w:type="dxa" w:w="80"/>
              <w:right w:type="dxa" w:w="120"/>
            </w:tcMar>
          </w:tcPr>
          <w:p>
            <w:pPr>
              <w:spacing w:after="60" w:before="60"/>
            </w:pPr>
            <w:r>
              <w:rPr>
                <w:rFonts w:ascii="Arial" w:cs="Arial" w:eastAsia="Arial" w:hAnsi="Arial"/>
                <w:b/>
                <w:bCs/>
                <w:color w:val="FFFFFF"/>
                <w:sz w:val="18"/>
                <w:szCs w:val="18"/>
              </w:rPr>
              <w:t xml:space="preserve">Examples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Measure (KPI / aggregation)</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Total commitment volume: SUM(CommitCurrent)
Utilization rate: SUM(OutstandingBalance) / SUM(CommitLimit)
Active loan count: COUNT(CASE WHEN status = 'Active' THEN 1 END)</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Filter (reusable WHERE condition)</w:t>
            </w:r>
          </w:p>
        </w:tc>
        <w:tc>
          <w:tcPr>
            <w:tcW w:type="dxa" w:w="6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Active loans only: status = 'Active'
Current quarter: close_date &gt;= DATE_TRUNC('quarter', CURRENT_DATE)
Participation loans: ParticipationType IS NOT NULL</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Dimension (derived grouping attribute)</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Fiscal year: CASE WHEN MONTH(date) &gt;= 2 THEN YEAR(date) ELSE YEAR(date)-1 END
Loan size band: CASE WHEN CommitCurrent &lt; 1000000 THEN 'Small' ...</w:t>
            </w:r>
          </w:p>
        </w:tc>
      </w:tr>
    </w:tbl>
    <w:p>
      <w:pPr>
        <w:spacing w:after="0" w:before="80"/>
      </w:pPr>
      <w:r>
        <w:rPr>
          <w:rFonts w:ascii="Arial" w:cs="Arial" w:eastAsia="Arial" w:hAnsi="Arial"/>
          <w:color w:val="1A1A1A"/>
          <w:sz w:val="20"/>
          <w:szCs w:val="20"/>
        </w:rPr>
        <w:t xml:space="preserve"/>
      </w:r>
    </w:p>
    <w:p>
      <w:pPr>
        <w:pStyle w:val="Heading2"/>
        <w:pBdr>
          <w:bottom w:val="single" w:color="D6E4F0" w:sz="4" w:space="3"/>
        </w:pBdr>
        <w:spacing w:after="100" w:before="320"/>
      </w:pPr>
      <w:r>
        <w:rPr>
          <w:rFonts w:ascii="Arial" w:cs="Arial" w:eastAsia="Arial" w:hAnsi="Arial"/>
          <w:b/>
          <w:bCs/>
          <w:color w:val="1F5C99"/>
          <w:sz w:val="24"/>
          <w:szCs w:val="24"/>
        </w:rPr>
        <w:t xml:space="preserve">4.3  Unity Catalog functions</w:t>
      </w:r>
    </w:p>
    <w:p>
      <w:pPr>
        <w:spacing w:after="60" w:before="60"/>
      </w:pPr>
      <w:r>
        <w:rPr>
          <w:rFonts w:ascii="Arial" w:cs="Arial" w:eastAsia="Arial" w:hAnsi="Arial"/>
          <w:color w:val="1A1A1A"/>
          <w:sz w:val="20"/>
          <w:szCs w:val="20"/>
        </w:rPr>
        <w:t xml:space="preserve">Unity Catalog functions (UDFs) are SQL functions registered directly in Unity Catalog, making them reusable across all spaces, notebooks, dashboards, and SQL queries — not just the space you are building now. They occupy an important position in the tool hierarchy: more reusable than a space-local SQL expression, but more targeted than a full gold view.</w:t>
      </w:r>
    </w:p>
    <w:p>
      <w:pPr>
        <w:spacing w:after="0" w:before="4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1F5C99" w:val="clear"/>
            <w:tcMar>
              <w:top w:type="dxa" w:w="80"/>
              <w:left w:type="dxa" w:w="120"/>
              <w:bottom w:type="dxa" w:w="80"/>
              <w:right w:type="dxa" w:w="120"/>
            </w:tcMar>
          </w:tcPr>
          <w:p>
            <w:pPr>
              <w:spacing w:after="60" w:before="60"/>
            </w:pPr>
            <w:r>
              <w:rPr>
                <w:rFonts w:ascii="Arial" w:cs="Arial" w:eastAsia="Arial" w:hAnsi="Arial"/>
                <w:b/>
                <w:bCs/>
                <w:color w:val="FFFFFF"/>
                <w:sz w:val="18"/>
                <w:szCs w:val="18"/>
              </w:rPr>
              <w:t xml:space="preserve">Use a UC function when...</w:t>
            </w:r>
          </w:p>
        </w:tc>
        <w:tc>
          <w:tcPr>
            <w:tcW w:type="dxa" w:w="6560"/>
            <w:tcBorders>
              <w:top w:val="single" w:color="DDDDDD" w:sz="1"/>
              <w:left w:val="single" w:color="DDDDDD" w:sz="1"/>
              <w:bottom w:val="single" w:color="DDDDDD" w:sz="1"/>
              <w:right w:val="single" w:color="DDDDDD" w:sz="1"/>
            </w:tcBorders>
            <w:shd w:fill="1F5C99" w:val="clear"/>
            <w:tcMar>
              <w:top w:type="dxa" w:w="80"/>
              <w:left w:type="dxa" w:w="120"/>
              <w:bottom w:type="dxa" w:w="80"/>
              <w:right w:type="dxa" w:w="120"/>
            </w:tcMar>
          </w:tcPr>
          <w:p>
            <w:pPr>
              <w:spacing w:after="60" w:before="60"/>
            </w:pPr>
            <w:r>
              <w:rPr>
                <w:rFonts w:ascii="Arial" w:cs="Arial" w:eastAsia="Arial" w:hAnsi="Arial"/>
                <w:b/>
                <w:bCs/>
                <w:color w:val="FFFFFF"/>
                <w:sz w:val="18"/>
                <w:szCs w:val="18"/>
              </w:rPr>
              <w:t xml:space="preserve">Use a SQL expression instead when...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The same logic needs to be shared across multiple Genie spaces or other tools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The logic is specific to this space only</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The query needs to accept runtime parameters from the user (e.g. a region, a date range, a loan ID)</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The definition is a fixed calculation with no user-supplied inputs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A 'Trusted' response label matters for non-technical users (see 4.4)</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Genie's standard SQL generation is sufficient for the question</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The logic is complex enough to benefit from version control and independent testing in UC</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The expression is simple enough to define inline</w:t>
            </w:r>
          </w:p>
        </w:tc>
      </w:tr>
    </w:tbl>
    <w:p>
      <w:pPr>
        <w:spacing w:after="0" w:before="60"/>
      </w:pPr>
      <w:r>
        <w:rPr>
          <w:rFonts w:ascii="Arial" w:cs="Arial" w:eastAsia="Arial" w:hAnsi="Arial"/>
          <w:color w:val="1A1A1A"/>
          <w:sz w:val="20"/>
          <w:szCs w:val="20"/>
        </w:rPr>
        <w:t xml:space="preserve"/>
      </w:r>
    </w:p>
    <w:p>
      <w:pPr>
        <w:spacing w:after="60" w:before="60"/>
      </w:pPr>
      <w:r>
        <w:rPr>
          <w:rFonts w:ascii="Arial" w:cs="Arial" w:eastAsia="Arial" w:hAnsi="Arial"/>
          <w:color w:val="1A1A1A"/>
          <w:sz w:val="20"/>
          <w:szCs w:val="20"/>
        </w:rPr>
        <w:t xml:space="preserve">When writing UC functions for use in Genie, the function and parameter comments are critical — Genie reads them to decide when and how to invoke the function. Write the function comment as a precise description of what it answers and include example questions that should trigger it. Include example parameter values in parameter comments to improve accuracy.</w:t>
      </w:r>
    </w:p>
    <w:p>
      <w:pPr>
        <w:spacing w:after="0" w:before="6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6B1A" w:sz="18"/>
              <w:bottom w:val="none" w:color="FFFFFF" w:sz="0"/>
              <w:right w:val="none" w:color="FFFFFF" w:sz="0"/>
            </w:tcBorders>
            <w:shd w:fill="E8F5E9" w:val="clear"/>
            <w:tcMar>
              <w:top w:type="dxa" w:w="120"/>
              <w:left w:type="dxa" w:w="200"/>
              <w:bottom w:type="dxa" w:w="120"/>
              <w:right w:type="dxa" w:w="200"/>
            </w:tcMar>
          </w:tcPr>
          <w:p>
            <w:pPr>
              <w:spacing w:after="60" w:before="0"/>
            </w:pPr>
            <w:r>
              <w:rPr>
                <w:rFonts w:ascii="Arial" w:cs="Arial" w:eastAsia="Arial" w:hAnsi="Arial"/>
                <w:b/>
                <w:bCs/>
                <w:color w:val="1A6B1A"/>
                <w:sz w:val="20"/>
                <w:szCs w:val="20"/>
              </w:rPr>
              <w:t xml:space="preserve">✓  Best Practice</w:t>
            </w:r>
          </w:p>
          <w:p>
            <w:pPr>
              <w:spacing w:after="60" w:before="60"/>
            </w:pPr>
            <w:r>
              <w:rPr>
                <w:rFonts w:ascii="Arial" w:cs="Arial" w:eastAsia="Arial" w:hAnsi="Arial"/>
                <w:color w:val="1A1A1A"/>
                <w:sz w:val="19"/>
                <w:szCs w:val="19"/>
              </w:rPr>
              <w:t xml:space="preserve">Create a dedicated Unity Catalog schema to hold all functions used by your Genie spaces (e.g. catalog.genie_functions). This simplifies permission management — you can grant EXECUTE on the schema once rather than function by function — and makes it easy to see at a glance what trusted logic exists for your spaces.</w:t>
            </w:r>
          </w:p>
        </w:tc>
      </w:tr>
    </w:tbl>
    <w:p>
      <w:pPr>
        <w:spacing w:after="0" w:before="80"/>
      </w:pPr>
      <w:r>
        <w:rPr>
          <w:rFonts w:ascii="Arial" w:cs="Arial" w:eastAsia="Arial" w:hAnsi="Arial"/>
          <w:color w:val="1A1A1A"/>
          <w:sz w:val="20"/>
          <w:szCs w:val="20"/>
        </w:rPr>
        <w:t xml:space="preserve"/>
      </w:r>
    </w:p>
    <w:p>
      <w:pPr>
        <w:pStyle w:val="Heading2"/>
        <w:pBdr>
          <w:bottom w:val="single" w:color="D6E4F0" w:sz="4" w:space="3"/>
        </w:pBdr>
        <w:spacing w:after="100" w:before="320"/>
      </w:pPr>
      <w:r>
        <w:rPr>
          <w:rFonts w:ascii="Arial" w:cs="Arial" w:eastAsia="Arial" w:hAnsi="Arial"/>
          <w:b/>
          <w:bCs/>
          <w:color w:val="1F5C99"/>
          <w:sz w:val="24"/>
          <w:szCs w:val="24"/>
        </w:rPr>
        <w:t xml:space="preserve">4.4  Trusted assets</w:t>
      </w:r>
    </w:p>
    <w:p>
      <w:pPr>
        <w:spacing w:after="60" w:before="60"/>
      </w:pPr>
      <w:r>
        <w:rPr>
          <w:rFonts w:ascii="Arial" w:cs="Arial" w:eastAsia="Arial" w:hAnsi="Arial"/>
          <w:color w:val="1A1A1A"/>
          <w:sz w:val="20"/>
          <w:szCs w:val="20"/>
        </w:rPr>
        <w:t xml:space="preserve">A trusted asset is a UC function or a parameterized example SQL query that, when used to answer a question, displays a 'Trusted' label on the response. This label tells non-technical business users that a domain expert has verified the SQL behind the answer — they do not need to interpret the generated SQL themselves.</w:t>
      </w:r>
    </w:p>
    <w:p>
      <w:pPr>
        <w:spacing w:after="0" w:before="4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1F5C99" w:val="clear"/>
            <w:tcMar>
              <w:top w:type="dxa" w:w="80"/>
              <w:left w:type="dxa" w:w="120"/>
              <w:bottom w:type="dxa" w:w="80"/>
              <w:right w:type="dxa" w:w="120"/>
            </w:tcMar>
          </w:tcPr>
          <w:p>
            <w:pPr>
              <w:spacing w:after="60" w:before="60"/>
            </w:pPr>
            <w:r>
              <w:rPr>
                <w:rFonts w:ascii="Arial" w:cs="Arial" w:eastAsia="Arial" w:hAnsi="Arial"/>
                <w:b/>
                <w:bCs/>
                <w:color w:val="FFFFFF"/>
                <w:sz w:val="18"/>
                <w:szCs w:val="18"/>
              </w:rPr>
              <w:t xml:space="preserve">Asset type</w:t>
            </w:r>
          </w:p>
        </w:tc>
        <w:tc>
          <w:tcPr>
            <w:tcW w:type="dxa" w:w="6560"/>
            <w:tcBorders>
              <w:top w:val="single" w:color="DDDDDD" w:sz="1"/>
              <w:left w:val="single" w:color="DDDDDD" w:sz="1"/>
              <w:bottom w:val="single" w:color="DDDDDD" w:sz="1"/>
              <w:right w:val="single" w:color="DDDDDD" w:sz="1"/>
            </w:tcBorders>
            <w:shd w:fill="1F5C99" w:val="clear"/>
            <w:tcMar>
              <w:top w:type="dxa" w:w="80"/>
              <w:left w:type="dxa" w:w="120"/>
              <w:bottom w:type="dxa" w:w="80"/>
              <w:right w:type="dxa" w:w="120"/>
            </w:tcMar>
          </w:tcPr>
          <w:p>
            <w:pPr>
              <w:spacing w:after="60" w:before="60"/>
            </w:pPr>
            <w:r>
              <w:rPr>
                <w:rFonts w:ascii="Arial" w:cs="Arial" w:eastAsia="Arial" w:hAnsi="Arial"/>
                <w:b/>
                <w:bCs/>
                <w:color w:val="FFFFFF"/>
                <w:sz w:val="18"/>
                <w:szCs w:val="18"/>
              </w:rPr>
              <w:t xml:space="preserve">How it becomes trusted and what that means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Parameterized example SQL query</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When Genie uses the exact text of a parameterized example query to answer a question, the response is automatically labeled Trusted. Users can edit the parameter value and rerun. Non-parameterized example queries provide context and guide Genie but are NOT labeled Trusted.</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Unity Catalog table function (UDF)</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Any UC function added to the space's instructions is treated as a trusted asset. When Genie invokes it, the response is labeled Trusted. The function must be a table function (RETURNS TABLE) registered in Unity Catalog.</w:t>
            </w:r>
          </w:p>
        </w:tc>
      </w:tr>
    </w:tbl>
    <w:p>
      <w:pPr>
        <w:spacing w:after="0" w:before="60"/>
      </w:pPr>
      <w:r>
        <w:rPr>
          <w:rFonts w:ascii="Arial" w:cs="Arial" w:eastAsia="Arial" w:hAnsi="Arial"/>
          <w:color w:val="1A1A1A"/>
          <w:sz w:val="20"/>
          <w:szCs w:val="20"/>
        </w:rPr>
        <w:t xml:space="preserve"/>
      </w:r>
    </w:p>
    <w:p>
      <w:pPr>
        <w:spacing w:after="60" w:before="60"/>
      </w:pPr>
      <w:r>
        <w:rPr>
          <w:rFonts w:ascii="Arial" w:cs="Arial" w:eastAsia="Arial" w:hAnsi="Arial"/>
          <w:color w:val="1A1A1A"/>
          <w:sz w:val="20"/>
          <w:szCs w:val="20"/>
        </w:rPr>
        <w:t xml:space="preserve">Use trusted assets for well-established, recurring questions where accuracy is business-critical and where non-technical users will not be able to validate the SQL themselves. They are not a substitute for good metadata and SQL expressions — they are a guarantee layer on top of them.</w:t>
      </w:r>
    </w:p>
    <w:p>
      <w:pPr>
        <w:spacing w:after="0" w:before="80"/>
      </w:pPr>
      <w:r>
        <w:rPr>
          <w:rFonts w:ascii="Arial" w:cs="Arial" w:eastAsia="Arial" w:hAnsi="Arial"/>
          <w:color w:val="1A1A1A"/>
          <w:sz w:val="20"/>
          <w:szCs w:val="20"/>
        </w:rPr>
        <w:t xml:space="preserve"/>
      </w:r>
    </w:p>
    <w:p>
      <w:pPr>
        <w:pStyle w:val="Heading2"/>
        <w:pBdr>
          <w:bottom w:val="single" w:color="D6E4F0" w:sz="4" w:space="3"/>
        </w:pBdr>
        <w:spacing w:after="100" w:before="320"/>
      </w:pPr>
      <w:r>
        <w:rPr>
          <w:rFonts w:ascii="Arial" w:cs="Arial" w:eastAsia="Arial" w:hAnsi="Arial"/>
          <w:b/>
          <w:bCs/>
          <w:color w:val="1F5C99"/>
          <w:sz w:val="24"/>
          <w:szCs w:val="24"/>
        </w:rPr>
        <w:t xml:space="preserve">4.5  Example SQL queries</w:t>
      </w:r>
    </w:p>
    <w:p>
      <w:pPr>
        <w:spacing w:after="60" w:before="60"/>
      </w:pPr>
      <w:r>
        <w:rPr>
          <w:rFonts w:ascii="Arial" w:cs="Arial" w:eastAsia="Arial" w:hAnsi="Arial"/>
          <w:color w:val="1A1A1A"/>
          <w:sz w:val="20"/>
          <w:szCs w:val="20"/>
        </w:rPr>
        <w:t xml:space="preserve">Example SQL queries are complete, verified SQL statements paired with a natural language prompt. They serve two purposes: Genie can match a user's question directly to a verified query, and they teach Genie the pattern for similar questions.</w:t>
      </w:r>
    </w:p>
    <w:p>
      <w:pPr>
        <w:spacing w:after="0" w:before="40"/>
      </w:pPr>
      <w:r>
        <w:rPr>
          <w:rFonts w:ascii="Arial" w:cs="Arial" w:eastAsia="Arial" w:hAnsi="Arial"/>
          <w:color w:val="1A1A1A"/>
          <w:sz w:val="20"/>
          <w:szCs w:val="20"/>
        </w:rPr>
        <w:t xml:space="preserve"/>
      </w:r>
    </w:p>
    <w:p>
      <w:pPr>
        <w:pStyle w:val="ListParagraph"/>
        <w:numPr>
          <w:ilvl w:val="0"/>
          <w:numId w:val="3"/>
        </w:numPr>
        <w:spacing w:after="40" w:before="40"/>
      </w:pPr>
      <w:r>
        <w:rPr>
          <w:rFonts w:ascii="Arial" w:cs="Arial" w:eastAsia="Arial" w:hAnsi="Arial"/>
          <w:b/>
          <w:bCs/>
          <w:color w:val="1A1A1A"/>
          <w:sz w:val="20"/>
          <w:szCs w:val="20"/>
        </w:rPr>
        <w:t xml:space="preserve">Write one example query per distinct question pattern</w:t>
      </w:r>
      <w:r>
        <w:rPr>
          <w:rFonts w:ascii="Arial" w:cs="Arial" w:eastAsia="Arial" w:hAnsi="Arial"/>
          <w:color w:val="1A1A1A"/>
          <w:sz w:val="20"/>
          <w:szCs w:val="20"/>
        </w:rPr>
        <w:t xml:space="preserve"> — not one per every possible question.</w:t>
      </w:r>
    </w:p>
    <w:p>
      <w:pPr>
        <w:pStyle w:val="ListParagraph"/>
        <w:numPr>
          <w:ilvl w:val="0"/>
          <w:numId w:val="3"/>
        </w:numPr>
        <w:spacing w:after="40" w:before="40"/>
      </w:pPr>
      <w:r>
        <w:rPr>
          <w:rFonts w:ascii="Arial" w:cs="Arial" w:eastAsia="Arial" w:hAnsi="Arial"/>
          <w:b/>
          <w:bCs/>
          <w:color w:val="1A1A1A"/>
          <w:sz w:val="20"/>
          <w:szCs w:val="20"/>
        </w:rPr>
        <w:t xml:space="preserve">Label each query with the natural language prompt it answers</w:t>
      </w:r>
      <w:r>
        <w:rPr>
          <w:rFonts w:ascii="Arial" w:cs="Arial" w:eastAsia="Arial" w:hAnsi="Arial"/>
          <w:color w:val="1A1A1A"/>
          <w:sz w:val="20"/>
          <w:szCs w:val="20"/>
        </w:rPr>
        <w:t xml:space="preserve"> — this is what Genie matches against.</w:t>
      </w:r>
    </w:p>
    <w:p>
      <w:pPr>
        <w:pStyle w:val="ListParagraph"/>
        <w:numPr>
          <w:ilvl w:val="0"/>
          <w:numId w:val="3"/>
        </w:numPr>
        <w:spacing w:after="40" w:before="40"/>
      </w:pPr>
      <w:r>
        <w:rPr>
          <w:rFonts w:ascii="Arial" w:cs="Arial" w:eastAsia="Arial" w:hAnsi="Arial"/>
          <w:b/>
          <w:bCs/>
          <w:color w:val="1A1A1A"/>
          <w:sz w:val="20"/>
          <w:szCs w:val="20"/>
        </w:rPr>
        <w:t xml:space="preserve">Keep queries as short as possible</w:t>
      </w:r>
      <w:r>
        <w:rPr>
          <w:rFonts w:ascii="Arial" w:cs="Arial" w:eastAsia="Arial" w:hAnsi="Arial"/>
          <w:color w:val="1A1A1A"/>
          <w:sz w:val="20"/>
          <w:szCs w:val="20"/>
        </w:rPr>
        <w:t xml:space="preserve"> — long queries slow Genie and consume token budget.</w:t>
      </w:r>
    </w:p>
    <w:p>
      <w:pPr>
        <w:pStyle w:val="ListParagraph"/>
        <w:numPr>
          <w:ilvl w:val="0"/>
          <w:numId w:val="3"/>
        </w:numPr>
        <w:spacing w:after="40" w:before="40"/>
      </w:pPr>
      <w:r>
        <w:rPr>
          <w:rFonts w:ascii="Arial" w:cs="Arial" w:eastAsia="Arial" w:hAnsi="Arial"/>
          <w:b/>
          <w:bCs/>
          <w:color w:val="1A1A1A"/>
          <w:sz w:val="20"/>
          <w:szCs w:val="20"/>
        </w:rPr>
        <w:t xml:space="preserve">Test every example query independently before adding it</w:t>
      </w:r>
      <w:r>
        <w:rPr>
          <w:rFonts w:ascii="Arial" w:cs="Arial" w:eastAsia="Arial" w:hAnsi="Arial"/>
          <w:color w:val="1A1A1A"/>
          <w:sz w:val="20"/>
          <w:szCs w:val="20"/>
        </w:rPr>
        <w:t xml:space="preserve"> — an incorrect example is worse than no example.</w:t>
      </w:r>
    </w:p>
    <w:p>
      <w:pPr>
        <w:pStyle w:val="ListParagraph"/>
        <w:numPr>
          <w:ilvl w:val="0"/>
          <w:numId w:val="3"/>
        </w:numPr>
        <w:spacing w:after="40" w:before="40"/>
      </w:pPr>
      <w:r>
        <w:rPr>
          <w:rFonts w:ascii="Arial" w:cs="Arial" w:eastAsia="Arial" w:hAnsi="Arial"/>
          <w:b/>
          <w:bCs/>
          <w:color w:val="1A1A1A"/>
          <w:sz w:val="20"/>
          <w:szCs w:val="20"/>
        </w:rPr>
        <w:t xml:space="preserve">Remove overlapping or redundant examples</w:t>
      </w:r>
      <w:r>
        <w:rPr>
          <w:rFonts w:ascii="Arial" w:cs="Arial" w:eastAsia="Arial" w:hAnsi="Arial"/>
          <w:color w:val="1A1A1A"/>
          <w:sz w:val="20"/>
          <w:szCs w:val="20"/>
        </w:rPr>
        <w:t xml:space="preserve"> — duplicate patterns add noise.</w:t>
      </w:r>
    </w:p>
    <w:p>
      <w:pPr>
        <w:pStyle w:val="ListParagraph"/>
        <w:numPr>
          <w:ilvl w:val="0"/>
          <w:numId w:val="3"/>
        </w:numPr>
        <w:spacing w:after="40" w:before="40"/>
      </w:pPr>
      <w:r>
        <w:rPr>
          <w:rFonts w:ascii="Arial" w:cs="Arial" w:eastAsia="Arial" w:hAnsi="Arial"/>
          <w:b/>
          <w:bCs/>
          <w:color w:val="1A1A1A"/>
          <w:sz w:val="20"/>
          <w:szCs w:val="20"/>
        </w:rPr>
        <w:t xml:space="preserve">Add parameters to queries you want labeled Trusted</w:t>
      </w:r>
      <w:r>
        <w:rPr>
          <w:rFonts w:ascii="Arial" w:cs="Arial" w:eastAsia="Arial" w:hAnsi="Arial"/>
          <w:color w:val="1A1A1A"/>
          <w:sz w:val="20"/>
          <w:szCs w:val="20"/>
        </w:rPr>
        <w:t xml:space="preserve"> — non-parameterized queries guide Genie but do not earn the Trusted badge.</w:t>
      </w:r>
    </w:p>
    <w:p>
      <w:pPr>
        <w:spacing w:after="0" w:before="80"/>
      </w:pPr>
      <w:r>
        <w:rPr>
          <w:rFonts w:ascii="Arial" w:cs="Arial" w:eastAsia="Arial" w:hAnsi="Arial"/>
          <w:color w:val="1A1A1A"/>
          <w:sz w:val="20"/>
          <w:szCs w:val="20"/>
        </w:rPr>
        <w:t xml:space="preserve"/>
      </w:r>
    </w:p>
    <w:p>
      <w:pPr>
        <w:pStyle w:val="Heading2"/>
        <w:pBdr>
          <w:bottom w:val="single" w:color="D6E4F0" w:sz="4" w:space="3"/>
        </w:pBdr>
        <w:spacing w:after="100" w:before="320"/>
      </w:pPr>
      <w:r>
        <w:rPr>
          <w:rFonts w:ascii="Arial" w:cs="Arial" w:eastAsia="Arial" w:hAnsi="Arial"/>
          <w:b/>
          <w:bCs/>
          <w:color w:val="1F5C99"/>
          <w:sz w:val="24"/>
          <w:szCs w:val="24"/>
        </w:rPr>
        <w:t xml:space="preserve">4.6  Text instructions</w:t>
      </w:r>
    </w:p>
    <w:p>
      <w:pPr>
        <w:spacing w:after="60" w:before="60"/>
      </w:pPr>
      <w:r>
        <w:rPr>
          <w:rFonts w:ascii="Arial" w:cs="Arial" w:eastAsia="Arial" w:hAnsi="Arial"/>
          <w:color w:val="1A1A1A"/>
          <w:sz w:val="20"/>
          <w:szCs w:val="20"/>
        </w:rPr>
        <w:t xml:space="preserve">Text instructions are the last resort. They are appropriate only for guidance that genuinely cannot be expressed in SQL. Keep the total instruction set short — the more instructions you add, the more Genie struggles to prioritize them, especially in long conversations. Remember the 100 instruction limit across all instruction types.</w:t>
      </w:r>
    </w:p>
    <w:p>
      <w:pPr>
        <w:spacing w:after="0" w:before="4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1"/>
              <w:left w:val="single" w:color="DDDDDD" w:sz="1"/>
              <w:bottom w:val="single" w:color="DDDDDD" w:sz="1"/>
              <w:right w:val="single" w:color="DDDDDD" w:sz="1"/>
            </w:tcBorders>
            <w:shd w:fill="1F5C99" w:val="clear"/>
            <w:tcMar>
              <w:top w:type="dxa" w:w="80"/>
              <w:left w:type="dxa" w:w="120"/>
              <w:bottom w:type="dxa" w:w="80"/>
              <w:right w:type="dxa" w:w="120"/>
            </w:tcMar>
          </w:tcPr>
          <w:p>
            <w:pPr>
              <w:spacing w:after="60" w:before="60"/>
            </w:pPr>
            <w:r>
              <w:rPr>
                <w:rFonts w:ascii="Arial" w:cs="Arial" w:eastAsia="Arial" w:hAnsi="Arial"/>
                <w:b/>
                <w:bCs/>
                <w:color w:val="FFFFFF"/>
                <w:sz w:val="18"/>
                <w:szCs w:val="18"/>
              </w:rPr>
              <w:t xml:space="preserve">Appropriate use of text instructions</w:t>
            </w:r>
          </w:p>
        </w:tc>
        <w:tc>
          <w:tcPr>
            <w:tcW w:type="dxa" w:w="6160"/>
            <w:tcBorders>
              <w:top w:val="single" w:color="DDDDDD" w:sz="1"/>
              <w:left w:val="single" w:color="DDDDDD" w:sz="1"/>
              <w:bottom w:val="single" w:color="DDDDDD" w:sz="1"/>
              <w:right w:val="single" w:color="DDDDDD" w:sz="1"/>
            </w:tcBorders>
            <w:shd w:fill="1F5C99" w:val="clear"/>
            <w:tcMar>
              <w:top w:type="dxa" w:w="80"/>
              <w:left w:type="dxa" w:w="120"/>
              <w:bottom w:type="dxa" w:w="80"/>
              <w:right w:type="dxa" w:w="120"/>
            </w:tcMar>
          </w:tcPr>
          <w:p>
            <w:pPr>
              <w:spacing w:after="60" w:before="60"/>
            </w:pPr>
            <w:r>
              <w:rPr>
                <w:rFonts w:ascii="Arial" w:cs="Arial" w:eastAsia="Arial" w:hAnsi="Arial"/>
                <w:b/>
                <w:bCs/>
                <w:color w:val="FFFFFF"/>
                <w:sz w:val="18"/>
                <w:szCs w:val="18"/>
              </w:rPr>
              <w:t xml:space="preserve">Examples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Clarification prompts — tell Genie when to ask for more information before answering</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"When a user asks about sales performance without specifying a time range, ask: 'Please specify the start and end date for your analysis.'"</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Business jargon mapping that has no SQL equivalent</w:t>
            </w:r>
          </w:p>
        </w:tc>
        <w:tc>
          <w:tcPr>
            <w:tcW w:type="dxa" w:w="6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"When users say 'booked business' they mean loans with status = 'Booked'. When they say 'pipeline' they mean status IN ('Approved', 'Pending')."</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Summary formatting rules</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"Always round percentages to two decimal places. Always include the date range covered in numerical summaries."</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Timezone or calendar clarifications</w:t>
            </w:r>
          </w:p>
        </w:tc>
        <w:tc>
          <w:tcPr>
            <w:tcW w:type="dxa" w:w="6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"All dates in these tables are stored in UTC. When users ask about 'today' assume Eastern Time."</w:t>
            </w:r>
          </w:p>
        </w:tc>
      </w:tr>
    </w:tbl>
    <w:p>
      <w:pPr>
        <w:spacing w:after="0" w:before="8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B1A1A" w:sz="18"/>
              <w:bottom w:val="none" w:color="FFFFFF" w:sz="0"/>
              <w:right w:val="none" w:color="FFFFFF" w:sz="0"/>
            </w:tcBorders>
            <w:shd w:fill="FDECEA" w:val="clear"/>
            <w:tcMar>
              <w:top w:type="dxa" w:w="120"/>
              <w:left w:type="dxa" w:w="200"/>
              <w:bottom w:type="dxa" w:w="120"/>
              <w:right w:type="dxa" w:w="200"/>
            </w:tcMar>
          </w:tcPr>
          <w:p>
            <w:pPr>
              <w:spacing w:after="60" w:before="0"/>
            </w:pPr>
            <w:r>
              <w:rPr>
                <w:rFonts w:ascii="Arial" w:cs="Arial" w:eastAsia="Arial" w:hAnsi="Arial"/>
                <w:b/>
                <w:bCs/>
                <w:color w:val="7B1A1A"/>
                <w:sz w:val="20"/>
                <w:szCs w:val="20"/>
              </w:rPr>
              <w:t xml:space="preserve">⚠  Common Mistake to Avoid</w:t>
            </w:r>
          </w:p>
          <w:p>
            <w:pPr>
              <w:spacing w:after="60" w:before="60"/>
            </w:pPr>
            <w:r>
              <w:rPr>
                <w:rFonts w:ascii="Arial" w:cs="Arial" w:eastAsia="Arial" w:hAnsi="Arial"/>
                <w:color w:val="1A1A1A"/>
                <w:sz w:val="19"/>
                <w:szCs w:val="19"/>
              </w:rPr>
              <w:t xml:space="preserve">Text instructions are tempting because they are easy to add. Resist the urge. Each one added to fix an error is a signal that something upstream — the data model, the metadata, or the SQL expressions — needs to be fixed properly. If your instruction set is growing, step back and ask which root cause it is masking.</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5C99" w:val="clear"/>
            <w:tcMar>
              <w:top w:type="dxa" w:w="160"/>
              <w:left w:type="dxa" w:w="240"/>
              <w:bottom w:type="dxa" w:w="160"/>
              <w:right w:type="dxa" w:w="240"/>
            </w:tcMar>
          </w:tcPr>
          <w:p>
            <w:pPr>
              <w:spacing w:after="60" w:before="0"/>
            </w:pPr>
            <w:r>
              <w:rPr>
                <w:rFonts w:ascii="Arial" w:cs="Arial" w:eastAsia="Arial" w:hAnsi="Arial"/>
                <w:b/>
                <w:bCs/>
                <w:color w:val="C8DCF0"/>
                <w:sz w:val="28"/>
                <w:szCs w:val="28"/>
              </w:rPr>
              <w:t xml:space="preserve">5  </w:t>
            </w:r>
            <w:r>
              <w:rPr>
                <w:rFonts w:ascii="Arial" w:cs="Arial" w:eastAsia="Arial" w:hAnsi="Arial"/>
                <w:b/>
                <w:bCs/>
                <w:color w:val="FFFFFF"/>
                <w:sz w:val="28"/>
                <w:szCs w:val="28"/>
              </w:rPr>
              <w:t xml:space="preserve">Testing, Iteration, and Growth</w:t>
            </w:r>
          </w:p>
          <w:p>
            <w:pPr>
              <w:spacing w:after="0" w:before="0"/>
            </w:pPr>
            <w:r>
              <w:rPr>
                <w:rFonts w:ascii="Arial" w:cs="Arial" w:eastAsia="Arial" w:hAnsi="Arial"/>
                <w:i/>
                <w:iCs/>
                <w:color w:val="C8DCF0"/>
                <w:sz w:val="18"/>
                <w:szCs w:val="18"/>
              </w:rPr>
              <w:t xml:space="preserve">Validate quality before sharing, then grow the space responsibly</w:t>
            </w:r>
          </w:p>
        </w:tc>
      </w:tr>
    </w:tbl>
    <w:p>
      <w:pPr>
        <w:spacing w:after="0" w:before="80"/>
      </w:pPr>
      <w:r>
        <w:rPr>
          <w:rFonts w:ascii="Arial" w:cs="Arial" w:eastAsia="Arial" w:hAnsi="Arial"/>
          <w:color w:val="1A1A1A"/>
          <w:sz w:val="20"/>
          <w:szCs w:val="20"/>
        </w:rPr>
        <w:t xml:space="preserve"/>
      </w:r>
    </w:p>
    <w:p>
      <w:pPr>
        <w:spacing w:after="60" w:before="60"/>
      </w:pPr>
      <w:r>
        <w:rPr>
          <w:rFonts w:ascii="Arial" w:cs="Arial" w:eastAsia="Arial" w:hAnsi="Arial"/>
          <w:color w:val="1A1A1A"/>
          <w:sz w:val="20"/>
          <w:szCs w:val="20"/>
        </w:rPr>
        <w:t xml:space="preserve">A Genie space is never finished — it is iteratively refined based on real usage. The discipline of testing before sharing and growing incrementally is what separates spaces that build trust from spaces that erode it.</w:t>
      </w:r>
    </w:p>
    <w:p>
      <w:pPr>
        <w:spacing w:after="0" w:before="40"/>
      </w:pPr>
      <w:r>
        <w:rPr>
          <w:rFonts w:ascii="Arial" w:cs="Arial" w:eastAsia="Arial" w:hAnsi="Arial"/>
          <w:color w:val="1A1A1A"/>
          <w:sz w:val="20"/>
          <w:szCs w:val="20"/>
        </w:rPr>
        <w:t xml:space="preserve"/>
      </w:r>
    </w:p>
    <w:p>
      <w:pPr>
        <w:pStyle w:val="Heading2"/>
        <w:pBdr>
          <w:bottom w:val="single" w:color="D6E4F0" w:sz="4" w:space="3"/>
        </w:pBdr>
        <w:spacing w:after="100" w:before="320"/>
      </w:pPr>
      <w:r>
        <w:rPr>
          <w:rFonts w:ascii="Arial" w:cs="Arial" w:eastAsia="Arial" w:hAnsi="Arial"/>
          <w:b/>
          <w:bCs/>
          <w:color w:val="1F5C99"/>
          <w:sz w:val="24"/>
          <w:szCs w:val="24"/>
        </w:rPr>
        <w:t xml:space="preserve">5.1  Set up benchmark questions before testing</w:t>
      </w:r>
    </w:p>
    <w:p>
      <w:pPr>
        <w:spacing w:after="60" w:before="60"/>
      </w:pPr>
      <w:r>
        <w:rPr>
          <w:rFonts w:ascii="Arial" w:cs="Arial" w:eastAsia="Arial" w:hAnsi="Arial"/>
          <w:color w:val="1A1A1A"/>
          <w:sz w:val="20"/>
          <w:szCs w:val="20"/>
        </w:rPr>
        <w:t xml:space="preserve">Benchmarks are Genie's built-in accuracy evaluation system. Each space supports up to 500 benchmark questions. Set them up before you begin testing — not after — so you have a scored baseline from your first run.</w:t>
      </w:r>
    </w:p>
    <w:p>
      <w:pPr>
        <w:spacing w:after="0" w:before="40"/>
      </w:pPr>
      <w:r>
        <w:rPr>
          <w:rFonts w:ascii="Arial" w:cs="Arial" w:eastAsia="Arial" w:hAnsi="Arial"/>
          <w:color w:val="1A1A1A"/>
          <w:sz w:val="20"/>
          <w:szCs w:val="20"/>
        </w:rPr>
        <w:t xml:space="preserve"/>
      </w:r>
    </w:p>
    <w:p>
      <w:pPr>
        <w:spacing w:after="60" w:before="60"/>
      </w:pPr>
      <w:r>
        <w:rPr>
          <w:rFonts w:ascii="Arial" w:cs="Arial" w:eastAsia="Arial" w:hAnsi="Arial"/>
          <w:color w:val="1A1A1A"/>
          <w:sz w:val="20"/>
          <w:szCs w:val="20"/>
        </w:rPr>
        <w:t xml:space="preserve">For each benchmark question:</w:t>
      </w:r>
    </w:p>
    <w:p>
      <w:pPr>
        <w:pStyle w:val="ListParagraph"/>
        <w:numPr>
          <w:ilvl w:val="0"/>
          <w:numId w:val="3"/>
        </w:numPr>
        <w:spacing w:after="40" w:before="40"/>
      </w:pPr>
      <w:r>
        <w:rPr>
          <w:rFonts w:ascii="Arial" w:cs="Arial" w:eastAsia="Arial" w:hAnsi="Arial"/>
          <w:b/>
          <w:bCs/>
          <w:color w:val="1A1A1A"/>
          <w:sz w:val="20"/>
          <w:szCs w:val="20"/>
        </w:rPr>
        <w:t xml:space="preserve">Write the question as a user would actually ask it</w:t>
      </w:r>
      <w:r>
        <w:rPr>
          <w:rFonts w:ascii="Arial" w:cs="Arial" w:eastAsia="Arial" w:hAnsi="Arial"/>
          <w:color w:val="1A1A1A"/>
          <w:sz w:val="20"/>
          <w:szCs w:val="20"/>
        </w:rPr>
        <w:t xml:space="preserve"> — in natural language, not SQL terms.</w:t>
      </w:r>
    </w:p>
    <w:p>
      <w:pPr>
        <w:pStyle w:val="ListParagraph"/>
        <w:numPr>
          <w:ilvl w:val="0"/>
          <w:numId w:val="3"/>
        </w:numPr>
        <w:spacing w:after="40" w:before="40"/>
      </w:pPr>
      <w:r>
        <w:rPr>
          <w:rFonts w:ascii="Arial" w:cs="Arial" w:eastAsia="Arial" w:hAnsi="Arial"/>
          <w:b/>
          <w:bCs/>
          <w:color w:val="1A1A1A"/>
          <w:sz w:val="20"/>
          <w:szCs w:val="20"/>
        </w:rPr>
        <w:t xml:space="preserve">Provide a SQL answer</w:t>
      </w:r>
      <w:r>
        <w:rPr>
          <w:rFonts w:ascii="Arial" w:cs="Arial" w:eastAsia="Arial" w:hAnsi="Arial"/>
          <w:color w:val="1A1A1A"/>
          <w:sz w:val="20"/>
          <w:szCs w:val="20"/>
        </w:rPr>
        <w:t xml:space="preserve"> — the SQL query that correctly answers the question. Only questions with a SQL answer can be automatically scored. Without it, every question requires manual review.</w:t>
      </w:r>
    </w:p>
    <w:p>
      <w:pPr>
        <w:pStyle w:val="ListParagraph"/>
        <w:numPr>
          <w:ilvl w:val="0"/>
          <w:numId w:val="3"/>
        </w:numPr>
        <w:spacing w:after="40" w:before="40"/>
      </w:pPr>
      <w:r>
        <w:rPr>
          <w:rFonts w:ascii="Arial" w:cs="Arial" w:eastAsia="Arial" w:hAnsi="Arial"/>
          <w:b/>
          <w:bCs/>
          <w:color w:val="1A1A1A"/>
          <w:sz w:val="20"/>
          <w:szCs w:val="20"/>
        </w:rPr>
        <w:t xml:space="preserve">Add two to four phrasings of the same question</w:t>
      </w:r>
      <w:r>
        <w:rPr>
          <w:rFonts w:ascii="Arial" w:cs="Arial" w:eastAsia="Arial" w:hAnsi="Arial"/>
          <w:color w:val="1A1A1A"/>
          <w:sz w:val="20"/>
          <w:szCs w:val="20"/>
        </w:rPr>
        <w:t xml:space="preserve"> — users will not all phrase questions identically. Test variations using the same SQL answer to assess how robust Genie's understanding is.</w:t>
      </w:r>
    </w:p>
    <w:p>
      <w:pPr>
        <w:pStyle w:val="ListParagraph"/>
        <w:numPr>
          <w:ilvl w:val="0"/>
          <w:numId w:val="3"/>
        </w:numPr>
        <w:spacing w:after="40" w:before="40"/>
      </w:pPr>
      <w:r>
        <w:rPr>
          <w:rFonts w:ascii="Arial" w:cs="Arial" w:eastAsia="Arial" w:hAnsi="Arial"/>
          <w:b/>
          <w:bCs/>
          <w:color w:val="1A1A1A"/>
          <w:sz w:val="20"/>
          <w:szCs w:val="20"/>
        </w:rPr>
        <w:t xml:space="preserve">Use your 10-15 benchmark questions from the space charter</w:t>
      </w:r>
      <w:r>
        <w:rPr>
          <w:rFonts w:ascii="Arial" w:cs="Arial" w:eastAsia="Arial" w:hAnsi="Arial"/>
          <w:color w:val="1A1A1A"/>
          <w:sz w:val="20"/>
          <w:szCs w:val="20"/>
        </w:rPr>
        <w:t xml:space="preserve"> — these are your baseline. Add further variations and edge cases from there.</w:t>
      </w:r>
    </w:p>
    <w:p>
      <w:pPr>
        <w:spacing w:after="0" w:before="6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1F5C99" w:val="clear"/>
            <w:tcMar>
              <w:top w:type="dxa" w:w="80"/>
              <w:left w:type="dxa" w:w="120"/>
              <w:bottom w:type="dxa" w:w="80"/>
              <w:right w:type="dxa" w:w="120"/>
            </w:tcMar>
          </w:tcPr>
          <w:p>
            <w:pPr>
              <w:spacing w:after="60" w:before="60"/>
            </w:pPr>
            <w:r>
              <w:rPr>
                <w:rFonts w:ascii="Arial" w:cs="Arial" w:eastAsia="Arial" w:hAnsi="Arial"/>
                <w:b/>
                <w:bCs/>
                <w:color w:val="FFFFFF"/>
                <w:sz w:val="18"/>
                <w:szCs w:val="18"/>
              </w:rPr>
              <w:t xml:space="preserve">Benchmark rating</w:t>
            </w:r>
          </w:p>
        </w:tc>
        <w:tc>
          <w:tcPr>
            <w:tcW w:type="dxa" w:w="6960"/>
            <w:tcBorders>
              <w:top w:val="single" w:color="DDDDDD" w:sz="1"/>
              <w:left w:val="single" w:color="DDDDDD" w:sz="1"/>
              <w:bottom w:val="single" w:color="DDDDDD" w:sz="1"/>
              <w:right w:val="single" w:color="DDDDDD" w:sz="1"/>
            </w:tcBorders>
            <w:shd w:fill="1F5C99" w:val="clear"/>
            <w:tcMar>
              <w:top w:type="dxa" w:w="80"/>
              <w:left w:type="dxa" w:w="120"/>
              <w:bottom w:type="dxa" w:w="80"/>
              <w:right w:type="dxa" w:w="120"/>
            </w:tcMar>
          </w:tcPr>
          <w:p>
            <w:pPr>
              <w:spacing w:after="60" w:before="60"/>
            </w:pPr>
            <w:r>
              <w:rPr>
                <w:rFonts w:ascii="Arial" w:cs="Arial" w:eastAsia="Arial" w:hAnsi="Arial"/>
                <w:b/>
                <w:bCs/>
                <w:color w:val="FFFFFF"/>
                <w:sz w:val="18"/>
                <w:szCs w:val="18"/>
              </w:rPr>
              <w:t xml:space="preserve">What it means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Good</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Genie's SQL exactly matches the answer, produces the same result set, or produces numerically equivalent results (rounded to 4 significant digits). Sort order differences are acceptable.</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Bad</w:t>
            </w:r>
          </w:p>
        </w:tc>
        <w:tc>
          <w:tcPr>
            <w:tcW w:type="dxa" w:w="6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Genie returns an empty result set, an error, extra columns, or a single-cell result that differs from the answer.</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Manual review needed</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Genie produced a result but it cannot be automatically compared to the SQL answer — a domain expert must check it.</w:t>
            </w:r>
          </w:p>
        </w:tc>
      </w:tr>
    </w:tbl>
    <w:p>
      <w:pPr>
        <w:spacing w:after="0" w:before="80"/>
      </w:pPr>
      <w:r>
        <w:rPr>
          <w:rFonts w:ascii="Arial" w:cs="Arial" w:eastAsia="Arial" w:hAnsi="Arial"/>
          <w:color w:val="1A1A1A"/>
          <w:sz w:val="20"/>
          <w:szCs w:val="20"/>
        </w:rPr>
        <w:t xml:space="preserve"/>
      </w:r>
    </w:p>
    <w:p>
      <w:pPr>
        <w:pStyle w:val="Heading2"/>
        <w:pBdr>
          <w:bottom w:val="single" w:color="D6E4F0" w:sz="4" w:space="3"/>
        </w:pBdr>
        <w:spacing w:after="100" w:before="320"/>
      </w:pPr>
      <w:r>
        <w:rPr>
          <w:rFonts w:ascii="Arial" w:cs="Arial" w:eastAsia="Arial" w:hAnsi="Arial"/>
          <w:b/>
          <w:bCs/>
          <w:color w:val="1F5C99"/>
          <w:sz w:val="24"/>
          <w:szCs w:val="24"/>
        </w:rPr>
        <w:t xml:space="preserve">5.2  Test before you share</w:t>
      </w:r>
    </w:p>
    <w:p>
      <w:pPr>
        <w:spacing w:after="60" w:before="60"/>
      </w:pPr>
      <w:r>
        <w:rPr>
          <w:rFonts w:ascii="Arial" w:cs="Arial" w:eastAsia="Arial" w:hAnsi="Arial"/>
          <w:color w:val="1A1A1A"/>
          <w:sz w:val="20"/>
          <w:szCs w:val="20"/>
        </w:rPr>
        <w:t xml:space="preserve">You should be the first user of your space. Before inviting any business users, work through the following:</w:t>
      </w:r>
    </w:p>
    <w:p>
      <w:pPr>
        <w:spacing w:after="0" w:before="40"/>
      </w:pPr>
      <w:r>
        <w:rPr>
          <w:rFonts w:ascii="Arial" w:cs="Arial" w:eastAsia="Arial" w:hAnsi="Arial"/>
          <w:color w:val="1A1A1A"/>
          <w:sz w:val="20"/>
          <w:szCs w:val="20"/>
        </w:rPr>
        <w:t xml:space="preserve"/>
      </w:r>
    </w:p>
    <w:p>
      <w:pPr>
        <w:pStyle w:val="ListParagraph"/>
        <w:numPr>
          <w:ilvl w:val="0"/>
          <w:numId w:val="2"/>
        </w:numPr>
        <w:spacing w:after="60" w:before="60"/>
      </w:pPr>
      <w:r>
        <w:rPr>
          <w:rFonts w:ascii="Arial" w:cs="Arial" w:eastAsia="Arial" w:hAnsi="Arial"/>
          <w:color w:val="1A1A1A"/>
          <w:sz w:val="20"/>
          <w:szCs w:val="20"/>
        </w:rPr>
        <w:t xml:space="preserve">Run all benchmark questions and review the scores. Do not proceed until the 'Good' rate on your core 10-15 questions is high.</w:t>
      </w:r>
    </w:p>
    <w:p>
      <w:pPr>
        <w:pStyle w:val="ListParagraph"/>
        <w:numPr>
          <w:ilvl w:val="0"/>
          <w:numId w:val="2"/>
        </w:numPr>
        <w:spacing w:after="60" w:before="60"/>
      </w:pPr>
      <w:r>
        <w:rPr>
          <w:rFonts w:ascii="Arial" w:cs="Arial" w:eastAsia="Arial" w:hAnsi="Arial"/>
          <w:color w:val="1A1A1A"/>
          <w:sz w:val="20"/>
          <w:szCs w:val="20"/>
        </w:rPr>
        <w:t xml:space="preserve">Read the generated SQL for each question — do not just check that a result came back. A plausible-looking wrong answer is worse than an honest 'I don't know'.</w:t>
      </w:r>
    </w:p>
    <w:p>
      <w:pPr>
        <w:pStyle w:val="ListParagraph"/>
        <w:numPr>
          <w:ilvl w:val="0"/>
          <w:numId w:val="2"/>
        </w:numPr>
        <w:spacing w:after="60" w:before="60"/>
      </w:pPr>
      <w:r>
        <w:rPr>
          <w:rFonts w:ascii="Arial" w:cs="Arial" w:eastAsia="Arial" w:hAnsi="Arial"/>
          <w:color w:val="1A1A1A"/>
          <w:sz w:val="20"/>
          <w:szCs w:val="20"/>
        </w:rPr>
        <w:t xml:space="preserve">If Genie misinterprets a question, diagnose the root cause before fixing it. Is it a metadata issue? A missing entity match? A missing SQL expression? Fix it at the root, not with a text instruction.</w:t>
      </w:r>
    </w:p>
    <w:p>
      <w:pPr>
        <w:pStyle w:val="ListParagraph"/>
        <w:numPr>
          <w:ilvl w:val="0"/>
          <w:numId w:val="2"/>
        </w:numPr>
        <w:spacing w:after="60" w:before="60"/>
      </w:pPr>
      <w:r>
        <w:rPr>
          <w:rFonts w:ascii="Arial" w:cs="Arial" w:eastAsia="Arial" w:hAnsi="Arial"/>
          <w:color w:val="1A1A1A"/>
          <w:sz w:val="20"/>
          <w:szCs w:val="20"/>
        </w:rPr>
        <w:t xml:space="preserve">Ask at least five questions that are out of scope or ambiguous. Verify that Genie either asks for clarification or clearly states it cannot answer.</w:t>
      </w:r>
    </w:p>
    <w:p>
      <w:pPr>
        <w:spacing w:after="0" w:before="80"/>
      </w:pPr>
      <w:r>
        <w:rPr>
          <w:rFonts w:ascii="Arial" w:cs="Arial" w:eastAsia="Arial" w:hAnsi="Arial"/>
          <w:color w:val="1A1A1A"/>
          <w:sz w:val="20"/>
          <w:szCs w:val="20"/>
        </w:rPr>
        <w:t xml:space="preserve"/>
      </w:r>
    </w:p>
    <w:p>
      <w:pPr>
        <w:pStyle w:val="Heading2"/>
        <w:pBdr>
          <w:bottom w:val="single" w:color="D6E4F0" w:sz="4" w:space="3"/>
        </w:pBdr>
        <w:spacing w:after="100" w:before="320"/>
      </w:pPr>
      <w:r>
        <w:rPr>
          <w:rFonts w:ascii="Arial" w:cs="Arial" w:eastAsia="Arial" w:hAnsi="Arial"/>
          <w:b/>
          <w:bCs/>
          <w:color w:val="1F5C99"/>
          <w:sz w:val="24"/>
          <w:szCs w:val="24"/>
        </w:rPr>
        <w:t xml:space="preserve">5.3  Knowledge mining: why upvoting matters</w:t>
      </w:r>
    </w:p>
    <w:p>
      <w:pPr>
        <w:spacing w:after="60" w:before="60"/>
      </w:pPr>
      <w:r>
        <w:rPr>
          <w:rFonts w:ascii="Arial" w:cs="Arial" w:eastAsia="Arial" w:hAnsi="Arial"/>
          <w:color w:val="1A1A1A"/>
          <w:sz w:val="20"/>
          <w:szCs w:val="20"/>
        </w:rPr>
        <w:t xml:space="preserve">When you or any author with edit permissions thumbs-up a response or downloads query results, Genie does more than record feedback — it analyzes the query behind that response and identifies logic that could improve future accuracy. It may then suggest new SQL expressions (measures, filters, or dimensions) and additional join relationships to add to the knowledge store.</w:t>
      </w:r>
    </w:p>
    <w:p>
      <w:pPr>
        <w:spacing w:after="0" w:before="40"/>
      </w:pPr>
      <w:r>
        <w:rPr>
          <w:rFonts w:ascii="Arial" w:cs="Arial" w:eastAsia="Arial" w:hAnsi="Arial"/>
          <w:color w:val="1A1A1A"/>
          <w:sz w:val="20"/>
          <w:szCs w:val="20"/>
        </w:rPr>
        <w:t xml:space="preserve"/>
      </w:r>
    </w:p>
    <w:p>
      <w:pPr>
        <w:spacing w:after="60" w:before="60"/>
      </w:pPr>
      <w:r>
        <w:rPr>
          <w:rFonts w:ascii="Arial" w:cs="Arial" w:eastAsia="Arial" w:hAnsi="Arial"/>
          <w:color w:val="1A1A1A"/>
          <w:sz w:val="20"/>
          <w:szCs w:val="20"/>
        </w:rPr>
        <w:t xml:space="preserve">This means that disciplined upvoting during testing and early use is not just courtesy — it is an active curation mechanism. Make it a habit:</w:t>
      </w:r>
    </w:p>
    <w:p>
      <w:pPr>
        <w:pStyle w:val="ListParagraph"/>
        <w:numPr>
          <w:ilvl w:val="0"/>
          <w:numId w:val="3"/>
        </w:numPr>
        <w:spacing w:after="40" w:before="40"/>
      </w:pPr>
      <w:r>
        <w:rPr>
          <w:rFonts w:ascii="Arial" w:cs="Arial" w:eastAsia="Arial" w:hAnsi="Arial"/>
          <w:color w:val="1A1A1A"/>
          <w:sz w:val="20"/>
          <w:szCs w:val="20"/>
        </w:rPr>
        <w:t xml:space="preserve">Upvote every correct response during your own testing phase.</w:t>
      </w:r>
    </w:p>
    <w:p>
      <w:pPr>
        <w:pStyle w:val="ListParagraph"/>
        <w:numPr>
          <w:ilvl w:val="0"/>
          <w:numId w:val="3"/>
        </w:numPr>
        <w:spacing w:after="40" w:before="40"/>
      </w:pPr>
      <w:r>
        <w:rPr>
          <w:rFonts w:ascii="Arial" w:cs="Arial" w:eastAsia="Arial" w:hAnsi="Arial"/>
          <w:color w:val="1A1A1A"/>
          <w:sz w:val="20"/>
          <w:szCs w:val="20"/>
        </w:rPr>
        <w:t xml:space="preserve">Instruct pilot users to upvote correct responses and downvote incorrect ones.</w:t>
      </w:r>
    </w:p>
    <w:p>
      <w:pPr>
        <w:pStyle w:val="ListParagraph"/>
        <w:numPr>
          <w:ilvl w:val="0"/>
          <w:numId w:val="3"/>
        </w:numPr>
        <w:spacing w:after="40" w:before="40"/>
      </w:pPr>
      <w:r>
        <w:rPr>
          <w:rFonts w:ascii="Arial" w:cs="Arial" w:eastAsia="Arial" w:hAnsi="Arial"/>
          <w:color w:val="1A1A1A"/>
          <w:sz w:val="20"/>
          <w:szCs w:val="20"/>
        </w:rPr>
        <w:t xml:space="preserve">After each testing session, review the knowledge mining suggestions in the knowledge store and accept those that are accurate.</w:t>
      </w:r>
    </w:p>
    <w:p>
      <w:pPr>
        <w:spacing w:after="0" w:before="80"/>
      </w:pPr>
      <w:r>
        <w:rPr>
          <w:rFonts w:ascii="Arial" w:cs="Arial" w:eastAsia="Arial" w:hAnsi="Arial"/>
          <w:color w:val="1A1A1A"/>
          <w:sz w:val="20"/>
          <w:szCs w:val="20"/>
        </w:rPr>
        <w:t xml:space="preserve"/>
      </w:r>
    </w:p>
    <w:p>
      <w:pPr>
        <w:pStyle w:val="Heading2"/>
        <w:pBdr>
          <w:bottom w:val="single" w:color="D6E4F0" w:sz="4" w:space="3"/>
        </w:pBdr>
        <w:spacing w:after="100" w:before="320"/>
      </w:pPr>
      <w:r>
        <w:rPr>
          <w:rFonts w:ascii="Arial" w:cs="Arial" w:eastAsia="Arial" w:hAnsi="Arial"/>
          <w:b/>
          <w:bCs/>
          <w:color w:val="1F5C99"/>
          <w:sz w:val="24"/>
          <w:szCs w:val="24"/>
        </w:rPr>
        <w:t xml:space="preserve">5.4  Structured user testing before broad rollout</w:t>
      </w:r>
    </w:p>
    <w:p>
      <w:pPr>
        <w:spacing w:after="60" w:before="60"/>
      </w:pPr>
      <w:r>
        <w:rPr>
          <w:rFonts w:ascii="Arial" w:cs="Arial" w:eastAsia="Arial" w:hAnsi="Arial"/>
          <w:color w:val="1A1A1A"/>
          <w:sz w:val="20"/>
          <w:szCs w:val="20"/>
        </w:rPr>
        <w:t xml:space="preserve">After you are satisfied with internal testing, invite one or two business users before a broad rollout. Set the right expectations:</w:t>
      </w:r>
    </w:p>
    <w:p>
      <w:pPr>
        <w:spacing w:after="0" w:before="40"/>
      </w:pPr>
      <w:r>
        <w:rPr>
          <w:rFonts w:ascii="Arial" w:cs="Arial" w:eastAsia="Arial" w:hAnsi="Arial"/>
          <w:color w:val="1A1A1A"/>
          <w:sz w:val="20"/>
          <w:szCs w:val="20"/>
        </w:rPr>
        <w:t xml:space="preserve"/>
      </w:r>
    </w:p>
    <w:p>
      <w:pPr>
        <w:pStyle w:val="ListParagraph"/>
        <w:numPr>
          <w:ilvl w:val="0"/>
          <w:numId w:val="3"/>
        </w:numPr>
        <w:spacing w:after="40" w:before="40"/>
      </w:pPr>
      <w:r>
        <w:rPr>
          <w:rFonts w:ascii="Arial" w:cs="Arial" w:eastAsia="Arial" w:hAnsi="Arial"/>
          <w:color w:val="1A1A1A"/>
          <w:sz w:val="20"/>
          <w:szCs w:val="20"/>
        </w:rPr>
        <w:t xml:space="preserve">Tell them their role is to help refine the space, not to get answers to live business questions.</w:t>
      </w:r>
    </w:p>
    <w:p>
      <w:pPr>
        <w:pStyle w:val="ListParagraph"/>
        <w:numPr>
          <w:ilvl w:val="0"/>
          <w:numId w:val="3"/>
        </w:numPr>
        <w:spacing w:after="40" w:before="40"/>
      </w:pPr>
      <w:r>
        <w:rPr>
          <w:rFonts w:ascii="Arial" w:cs="Arial" w:eastAsia="Arial" w:hAnsi="Arial"/>
          <w:color w:val="1A1A1A"/>
          <w:sz w:val="20"/>
          <w:szCs w:val="20"/>
        </w:rPr>
        <w:t xml:space="preserve">Ask them to focus on the defined question set, not to explore freely across unrelated topics.</w:t>
      </w:r>
    </w:p>
    <w:p>
      <w:pPr>
        <w:pStyle w:val="ListParagraph"/>
        <w:numPr>
          <w:ilvl w:val="0"/>
          <w:numId w:val="3"/>
        </w:numPr>
        <w:spacing w:after="40" w:before="40"/>
      </w:pPr>
      <w:r>
        <w:rPr>
          <w:rFonts w:ascii="Arial" w:cs="Arial" w:eastAsia="Arial" w:hAnsi="Arial"/>
          <w:color w:val="1A1A1A"/>
          <w:sz w:val="20"/>
          <w:szCs w:val="20"/>
        </w:rPr>
        <w:t xml:space="preserve">Ask them to upvote correct answers and downvote incorrect ones.</w:t>
      </w:r>
    </w:p>
    <w:p>
      <w:pPr>
        <w:pStyle w:val="ListParagraph"/>
        <w:numPr>
          <w:ilvl w:val="0"/>
          <w:numId w:val="3"/>
        </w:numPr>
        <w:spacing w:after="40" w:before="40"/>
      </w:pPr>
      <w:r>
        <w:rPr>
          <w:rFonts w:ascii="Arial" w:cs="Arial" w:eastAsia="Arial" w:hAnsi="Arial"/>
          <w:color w:val="1A1A1A"/>
          <w:sz w:val="20"/>
          <w:szCs w:val="20"/>
        </w:rPr>
        <w:t xml:space="preserve">Ask them to share unanswered or incorrectly answered questions with you directly for root cause analysis.</w:t>
      </w:r>
    </w:p>
    <w:p>
      <w:pPr>
        <w:pStyle w:val="ListParagraph"/>
        <w:numPr>
          <w:ilvl w:val="0"/>
          <w:numId w:val="3"/>
        </w:numPr>
        <w:spacing w:after="40" w:before="40"/>
      </w:pPr>
      <w:r>
        <w:rPr>
          <w:rFonts w:ascii="Arial" w:cs="Arial" w:eastAsia="Arial" w:hAnsi="Arial"/>
          <w:color w:val="1A1A1A"/>
          <w:sz w:val="20"/>
          <w:szCs w:val="20"/>
        </w:rPr>
        <w:t xml:space="preserve">After each feedback session, address root causes before the next session.</w:t>
      </w:r>
    </w:p>
    <w:p>
      <w:pPr>
        <w:spacing w:after="0" w:before="80"/>
      </w:pPr>
      <w:r>
        <w:rPr>
          <w:rFonts w:ascii="Arial" w:cs="Arial" w:eastAsia="Arial" w:hAnsi="Arial"/>
          <w:color w:val="1A1A1A"/>
          <w:sz w:val="20"/>
          <w:szCs w:val="20"/>
        </w:rPr>
        <w:t xml:space="preserve"/>
      </w:r>
    </w:p>
    <w:p>
      <w:pPr>
        <w:pStyle w:val="Heading2"/>
        <w:pBdr>
          <w:bottom w:val="single" w:color="D6E4F0" w:sz="4" w:space="3"/>
        </w:pBdr>
        <w:spacing w:after="100" w:before="320"/>
      </w:pPr>
      <w:r>
        <w:rPr>
          <w:rFonts w:ascii="Arial" w:cs="Arial" w:eastAsia="Arial" w:hAnsi="Arial"/>
          <w:b/>
          <w:bCs/>
          <w:color w:val="1F5C99"/>
          <w:sz w:val="24"/>
          <w:szCs w:val="24"/>
        </w:rPr>
        <w:t xml:space="preserve">5.5  Using the Monitoring tab</w:t>
      </w:r>
    </w:p>
    <w:p>
      <w:pPr>
        <w:spacing w:after="60" w:before="60"/>
      </w:pPr>
      <w:r>
        <w:rPr>
          <w:rFonts w:ascii="Arial" w:cs="Arial" w:eastAsia="Arial" w:hAnsi="Arial"/>
          <w:color w:val="1A1A1A"/>
          <w:sz w:val="20"/>
          <w:szCs w:val="20"/>
        </w:rPr>
        <w:t xml:space="preserve">Users with CAN MANAGE permissions can see all questions asked in the space on the Monitoring tab. Check this regularly. Look for:</w:t>
      </w:r>
    </w:p>
    <w:p>
      <w:pPr>
        <w:spacing w:after="0" w:before="40"/>
      </w:pPr>
      <w:r>
        <w:rPr>
          <w:rFonts w:ascii="Arial" w:cs="Arial" w:eastAsia="Arial" w:hAnsi="Arial"/>
          <w:color w:val="1A1A1A"/>
          <w:sz w:val="20"/>
          <w:szCs w:val="20"/>
        </w:rPr>
        <w:t xml:space="preserve"/>
      </w:r>
    </w:p>
    <w:p>
      <w:pPr>
        <w:pStyle w:val="ListParagraph"/>
        <w:numPr>
          <w:ilvl w:val="0"/>
          <w:numId w:val="3"/>
        </w:numPr>
        <w:spacing w:after="40" w:before="40"/>
      </w:pPr>
      <w:r>
        <w:rPr>
          <w:rFonts w:ascii="Arial" w:cs="Arial" w:eastAsia="Arial" w:hAnsi="Arial"/>
          <w:color w:val="1A1A1A"/>
          <w:sz w:val="20"/>
          <w:szCs w:val="20"/>
        </w:rPr>
        <w:t xml:space="preserve">Repeated questions that are answered incorrectly — these reveal gaps in metadata or SQL expressions.</w:t>
      </w:r>
    </w:p>
    <w:p>
      <w:pPr>
        <w:pStyle w:val="ListParagraph"/>
        <w:numPr>
          <w:ilvl w:val="0"/>
          <w:numId w:val="3"/>
        </w:numPr>
        <w:spacing w:after="40" w:before="40"/>
      </w:pPr>
      <w:r>
        <w:rPr>
          <w:rFonts w:ascii="Arial" w:cs="Arial" w:eastAsia="Arial" w:hAnsi="Arial"/>
          <w:color w:val="1A1A1A"/>
          <w:sz w:val="20"/>
          <w:szCs w:val="20"/>
        </w:rPr>
        <w:t xml:space="preserve">Questions that fall outside the defined scope — decide whether to expand the scope deliberately or add a clarification instruction redirecting users.</w:t>
      </w:r>
    </w:p>
    <w:p>
      <w:pPr>
        <w:pStyle w:val="ListParagraph"/>
        <w:numPr>
          <w:ilvl w:val="0"/>
          <w:numId w:val="3"/>
        </w:numPr>
        <w:spacing w:after="40" w:before="40"/>
      </w:pPr>
      <w:r>
        <w:rPr>
          <w:rFonts w:ascii="Arial" w:cs="Arial" w:eastAsia="Arial" w:hAnsi="Arial"/>
          <w:color w:val="1A1A1A"/>
          <w:sz w:val="20"/>
          <w:szCs w:val="20"/>
        </w:rPr>
        <w:t xml:space="preserve">Questions that Genie answers with unexpected tables or columns — these reveal ambiguity in your data model or metadata that needs to be resolved at the source.</w:t>
      </w:r>
    </w:p>
    <w:p>
      <w:pPr>
        <w:spacing w:after="0" w:before="80"/>
      </w:pPr>
      <w:r>
        <w:rPr>
          <w:rFonts w:ascii="Arial" w:cs="Arial" w:eastAsia="Arial" w:hAnsi="Arial"/>
          <w:color w:val="1A1A1A"/>
          <w:sz w:val="20"/>
          <w:szCs w:val="20"/>
        </w:rPr>
        <w:t xml:space="preserve"/>
      </w:r>
    </w:p>
    <w:p>
      <w:pPr>
        <w:pStyle w:val="Heading2"/>
        <w:pBdr>
          <w:bottom w:val="single" w:color="D6E4F0" w:sz="4" w:space="3"/>
        </w:pBdr>
        <w:spacing w:after="100" w:before="320"/>
      </w:pPr>
      <w:r>
        <w:rPr>
          <w:rFonts w:ascii="Arial" w:cs="Arial" w:eastAsia="Arial" w:hAnsi="Arial"/>
          <w:b/>
          <w:bCs/>
          <w:color w:val="1F5C99"/>
          <w:sz w:val="24"/>
          <w:szCs w:val="24"/>
        </w:rPr>
        <w:t xml:space="preserve">5.6  Growing the space responsibly</w:t>
      </w:r>
    </w:p>
    <w:p>
      <w:pPr>
        <w:spacing w:after="60" w:before="60"/>
      </w:pPr>
      <w:r>
        <w:rPr>
          <w:rFonts w:ascii="Arial" w:cs="Arial" w:eastAsia="Arial" w:hAnsi="Arial"/>
          <w:color w:val="1A1A1A"/>
          <w:sz w:val="20"/>
          <w:szCs w:val="20"/>
        </w:rPr>
        <w:t xml:space="preserve">When you are ready to expand the space — adding new tables, new question sets, or new audiences — follow this discipline:</w:t>
      </w:r>
    </w:p>
    <w:p>
      <w:pPr>
        <w:spacing w:after="0" w:before="40"/>
      </w:pPr>
      <w:r>
        <w:rPr>
          <w:rFonts w:ascii="Arial" w:cs="Arial" w:eastAsia="Arial" w:hAnsi="Arial"/>
          <w:color w:val="1A1A1A"/>
          <w:sz w:val="20"/>
          <w:szCs w:val="20"/>
        </w:rPr>
        <w:t xml:space="preserve"/>
      </w:r>
    </w:p>
    <w:p>
      <w:pPr>
        <w:pStyle w:val="ListParagraph"/>
        <w:numPr>
          <w:ilvl w:val="0"/>
          <w:numId w:val="2"/>
        </w:numPr>
        <w:spacing w:after="60" w:before="60"/>
      </w:pPr>
      <w:r>
        <w:rPr>
          <w:rFonts w:ascii="Arial" w:cs="Arial" w:eastAsia="Arial" w:hAnsi="Arial"/>
          <w:color w:val="1A1A1A"/>
          <w:sz w:val="20"/>
          <w:szCs w:val="20"/>
        </w:rPr>
        <w:t xml:space="preserve">Re-run your benchmark questions before making any changes to establish a baseline score.</w:t>
      </w:r>
    </w:p>
    <w:p>
      <w:pPr>
        <w:pStyle w:val="ListParagraph"/>
        <w:numPr>
          <w:ilvl w:val="0"/>
          <w:numId w:val="2"/>
        </w:numPr>
        <w:spacing w:after="60" w:before="60"/>
      </w:pPr>
      <w:r>
        <w:rPr>
          <w:rFonts w:ascii="Arial" w:cs="Arial" w:eastAsia="Arial" w:hAnsi="Arial"/>
          <w:color w:val="1A1A1A"/>
          <w:sz w:val="20"/>
          <w:szCs w:val="20"/>
        </w:rPr>
        <w:t xml:space="preserve">Make one change at a time — one new table, one new SQL expression, one new instruction.</w:t>
      </w:r>
    </w:p>
    <w:p>
      <w:pPr>
        <w:pStyle w:val="ListParagraph"/>
        <w:numPr>
          <w:ilvl w:val="0"/>
          <w:numId w:val="2"/>
        </w:numPr>
        <w:spacing w:after="60" w:before="60"/>
      </w:pPr>
      <w:r>
        <w:rPr>
          <w:rFonts w:ascii="Arial" w:cs="Arial" w:eastAsia="Arial" w:hAnsi="Arial"/>
          <w:color w:val="1A1A1A"/>
          <w:sz w:val="20"/>
          <w:szCs w:val="20"/>
        </w:rPr>
        <w:t xml:space="preserve">Re-run benchmarks after each change. If accuracy drops, revert the change and diagnose before proceeding.</w:t>
      </w:r>
    </w:p>
    <w:p>
      <w:pPr>
        <w:pStyle w:val="ListParagraph"/>
        <w:numPr>
          <w:ilvl w:val="0"/>
          <w:numId w:val="2"/>
        </w:numPr>
        <w:spacing w:after="60" w:before="60"/>
      </w:pPr>
      <w:r>
        <w:rPr>
          <w:rFonts w:ascii="Arial" w:cs="Arial" w:eastAsia="Arial" w:hAnsi="Arial"/>
          <w:color w:val="1A1A1A"/>
          <w:sz w:val="20"/>
          <w:szCs w:val="20"/>
        </w:rPr>
        <w:t xml:space="preserve">Update your scope charter document to reflect any intentional expansion of the question set.</w:t>
      </w:r>
    </w:p>
    <w:p>
      <w:pPr>
        <w:pStyle w:val="ListParagraph"/>
        <w:numPr>
          <w:ilvl w:val="0"/>
          <w:numId w:val="2"/>
        </w:numPr>
        <w:spacing w:after="60" w:before="60"/>
      </w:pPr>
      <w:r>
        <w:rPr>
          <w:rFonts w:ascii="Arial" w:cs="Arial" w:eastAsia="Arial" w:hAnsi="Arial"/>
          <w:color w:val="1A1A1A"/>
          <w:sz w:val="20"/>
          <w:szCs w:val="20"/>
        </w:rPr>
        <w:t xml:space="preserve">If you are consistently adding text instructions to fix errors, treat that as a signal to pause and invest in data engineering or SQL expressions instead.</w:t>
      </w:r>
    </w:p>
    <w:p>
      <w:pPr>
        <w:spacing w:after="0" w:before="8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6B1A" w:sz="18"/>
              <w:bottom w:val="none" w:color="FFFFFF" w:sz="0"/>
              <w:right w:val="none" w:color="FFFFFF" w:sz="0"/>
            </w:tcBorders>
            <w:shd w:fill="E8F5E9" w:val="clear"/>
            <w:tcMar>
              <w:top w:type="dxa" w:w="120"/>
              <w:left w:type="dxa" w:w="200"/>
              <w:bottom w:type="dxa" w:w="120"/>
              <w:right w:type="dxa" w:w="200"/>
            </w:tcMar>
          </w:tcPr>
          <w:p>
            <w:pPr>
              <w:spacing w:after="60" w:before="0"/>
            </w:pPr>
            <w:r>
              <w:rPr>
                <w:rFonts w:ascii="Arial" w:cs="Arial" w:eastAsia="Arial" w:hAnsi="Arial"/>
                <w:b/>
                <w:bCs/>
                <w:color w:val="1A6B1A"/>
                <w:sz w:val="20"/>
                <w:szCs w:val="20"/>
              </w:rPr>
              <w:t xml:space="preserve">✓  Best Practice</w:t>
            </w:r>
          </w:p>
          <w:p>
            <w:pPr>
              <w:spacing w:after="60" w:before="60"/>
            </w:pPr>
            <w:r>
              <w:rPr>
                <w:rFonts w:ascii="Arial" w:cs="Arial" w:eastAsia="Arial" w:hAnsi="Arial"/>
                <w:color w:val="1A1A1A"/>
                <w:sz w:val="19"/>
                <w:szCs w:val="19"/>
              </w:rPr>
              <w:t xml:space="preserve">A space that earns trust with 10 questions answered reliably is more valuable than a space that attempts 100 questions and answers 60 of them correctly. Grow the question set only when the existing set is rock-solid.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5C99" w:val="clear"/>
            <w:tcMar>
              <w:top w:type="dxa" w:w="160"/>
              <w:left w:type="dxa" w:w="240"/>
              <w:bottom w:type="dxa" w:w="160"/>
              <w:right w:type="dxa" w:w="240"/>
            </w:tcMar>
          </w:tcPr>
          <w:p>
            <w:pPr>
              <w:spacing w:after="60" w:before="0"/>
            </w:pPr>
            <w:r>
              <w:rPr>
                <w:rFonts w:ascii="Arial" w:cs="Arial" w:eastAsia="Arial" w:hAnsi="Arial"/>
                <w:b/>
                <w:bCs/>
                <w:color w:val="C8DCF0"/>
                <w:sz w:val="28"/>
                <w:szCs w:val="28"/>
              </w:rPr>
              <w:t xml:space="preserve">  </w:t>
            </w:r>
            <w:r>
              <w:rPr>
                <w:rFonts w:ascii="Arial" w:cs="Arial" w:eastAsia="Arial" w:hAnsi="Arial"/>
                <w:b/>
                <w:bCs/>
                <w:color w:val="FFFFFF"/>
                <w:sz w:val="28"/>
                <w:szCs w:val="28"/>
              </w:rPr>
              <w:t xml:space="preserve">Quick Reference Summary</w:t>
            </w:r>
          </w:p>
          <w:p>
            <w:pPr>
              <w:spacing w:after="0" w:before="0"/>
            </w:pPr>
            <w:r>
              <w:rPr>
                <w:rFonts w:ascii="Arial" w:cs="Arial" w:eastAsia="Arial" w:hAnsi="Arial"/>
                <w:i/>
                <w:iCs/>
                <w:color w:val="C8DCF0"/>
                <w:sz w:val="18"/>
                <w:szCs w:val="18"/>
              </w:rPr>
              <w:t xml:space="preserve">Keep this page handy when building or reviewing a Genie space</w:t>
            </w:r>
          </w:p>
        </w:tc>
      </w:tr>
    </w:tbl>
    <w:p>
      <w:pPr>
        <w:spacing w:after="0" w:before="80"/>
      </w:pPr>
      <w:r>
        <w:rPr>
          <w:rFonts w:ascii="Arial" w:cs="Arial" w:eastAsia="Arial" w:hAnsi="Arial"/>
          <w:color w:val="1A1A1A"/>
          <w:sz w:val="20"/>
          <w:szCs w:val="20"/>
        </w:rPr>
        <w:t xml:space="preserve"/>
      </w:r>
    </w:p>
    <w:p>
      <w:pPr>
        <w:pStyle w:val="Heading2"/>
        <w:pBdr>
          <w:bottom w:val="single" w:color="D6E4F0" w:sz="4" w:space="3"/>
        </w:pBdr>
        <w:spacing w:after="100" w:before="320"/>
      </w:pPr>
      <w:r>
        <w:rPr>
          <w:rFonts w:ascii="Arial" w:cs="Arial" w:eastAsia="Arial" w:hAnsi="Arial"/>
          <w:b/>
          <w:bCs/>
          <w:color w:val="1F5C99"/>
          <w:sz w:val="24"/>
          <w:szCs w:val="24"/>
        </w:rPr>
        <w:t xml:space="preserve">Pre-build checklist</w:t>
      </w:r>
    </w:p>
    <w:p>
      <w:pPr>
        <w:pStyle w:val="ListParagraph"/>
        <w:numPr>
          <w:ilvl w:val="0"/>
          <w:numId w:val="2"/>
        </w:numPr>
        <w:spacing w:after="60" w:before="60"/>
      </w:pPr>
      <w:r>
        <w:rPr>
          <w:rFonts w:ascii="Arial" w:cs="Arial" w:eastAsia="Arial" w:hAnsi="Arial"/>
          <w:b/>
          <w:bCs/>
          <w:color w:val="1A1A1A"/>
          <w:sz w:val="20"/>
          <w:szCs w:val="20"/>
        </w:rPr>
        <w:t xml:space="preserve">Space charter written and signed off</w:t>
      </w:r>
      <w:r>
        <w:rPr>
          <w:rFonts w:ascii="Arial" w:cs="Arial" w:eastAsia="Arial" w:hAnsi="Arial"/>
          <w:color w:val="1A1A1A"/>
          <w:sz w:val="20"/>
          <w:szCs w:val="20"/>
        </w:rPr>
        <w:t xml:space="preserve"> — audience, domain, 10-15 benchmark questions.</w:t>
      </w:r>
    </w:p>
    <w:p>
      <w:pPr>
        <w:pStyle w:val="ListParagraph"/>
        <w:numPr>
          <w:ilvl w:val="0"/>
          <w:numId w:val="2"/>
        </w:numPr>
        <w:spacing w:after="60" w:before="60"/>
      </w:pPr>
      <w:r>
        <w:rPr>
          <w:rFonts w:ascii="Arial" w:cs="Arial" w:eastAsia="Arial" w:hAnsi="Arial"/>
          <w:b/>
          <w:bCs/>
          <w:color w:val="1A1A1A"/>
          <w:sz w:val="20"/>
          <w:szCs w:val="20"/>
        </w:rPr>
        <w:t xml:space="preserve">Gold views or metric views built and tested</w:t>
      </w:r>
      <w:r>
        <w:rPr>
          <w:rFonts w:ascii="Arial" w:cs="Arial" w:eastAsia="Arial" w:hAnsi="Arial"/>
          <w:color w:val="1A1A1A"/>
          <w:sz w:val="20"/>
          <w:szCs w:val="20"/>
        </w:rPr>
        <w:t xml:space="preserve"> — complex joins, COALESCE, business filters, code mappings all encoded in SQL. Unneeded columns removed from the view.</w:t>
      </w:r>
    </w:p>
    <w:p>
      <w:pPr>
        <w:pStyle w:val="ListParagraph"/>
        <w:numPr>
          <w:ilvl w:val="0"/>
          <w:numId w:val="2"/>
        </w:numPr>
        <w:spacing w:after="60" w:before="60"/>
      </w:pPr>
      <w:r>
        <w:rPr>
          <w:rFonts w:ascii="Arial" w:cs="Arial" w:eastAsia="Arial" w:hAnsi="Arial"/>
          <w:b/>
          <w:bCs/>
          <w:color w:val="1A1A1A"/>
          <w:sz w:val="20"/>
          <w:szCs w:val="20"/>
        </w:rPr>
        <w:t xml:space="preserve">Unity Catalog table and column comments written</w:t>
      </w:r>
      <w:r>
        <w:rPr>
          <w:rFonts w:ascii="Arial" w:cs="Arial" w:eastAsia="Arial" w:hAnsi="Arial"/>
          <w:color w:val="1A1A1A"/>
          <w:sz w:val="20"/>
          <w:szCs w:val="20"/>
        </w:rPr>
        <w:t xml:space="preserve"> — in plain business language, not technical language.</w:t>
      </w:r>
    </w:p>
    <w:p>
      <w:pPr>
        <w:pStyle w:val="ListParagraph"/>
        <w:numPr>
          <w:ilvl w:val="0"/>
          <w:numId w:val="2"/>
        </w:numPr>
        <w:spacing w:after="60" w:before="60"/>
      </w:pPr>
      <w:r>
        <w:rPr>
          <w:rFonts w:ascii="Arial" w:cs="Arial" w:eastAsia="Arial" w:hAnsi="Arial"/>
          <w:b/>
          <w:bCs/>
          <w:color w:val="1A1A1A"/>
          <w:sz w:val="20"/>
          <w:szCs w:val="20"/>
        </w:rPr>
        <w:t xml:space="preserve">Primary and foreign keys defined in schema</w:t>
      </w:r>
      <w:r>
        <w:rPr>
          <w:rFonts w:ascii="Arial" w:cs="Arial" w:eastAsia="Arial" w:hAnsi="Arial"/>
          <w:color w:val="1A1A1A"/>
          <w:sz w:val="20"/>
          <w:szCs w:val="20"/>
        </w:rPr>
        <w:t xml:space="preserve"> — so Genie can auto-detect join relationships.</w:t>
      </w:r>
    </w:p>
    <w:p>
      <w:pPr>
        <w:pStyle w:val="ListParagraph"/>
        <w:numPr>
          <w:ilvl w:val="0"/>
          <w:numId w:val="2"/>
        </w:numPr>
        <w:spacing w:after="60" w:before="60"/>
      </w:pPr>
      <w:r>
        <w:rPr>
          <w:rFonts w:ascii="Arial" w:cs="Arial" w:eastAsia="Arial" w:hAnsi="Arial"/>
          <w:b/>
          <w:bCs/>
          <w:color w:val="1A1A1A"/>
          <w:sz w:val="20"/>
          <w:szCs w:val="20"/>
        </w:rPr>
        <w:t xml:space="preserve">Question set validated against the views directly in SQL</w:t>
      </w:r>
      <w:r>
        <w:rPr>
          <w:rFonts w:ascii="Arial" w:cs="Arial" w:eastAsia="Arial" w:hAnsi="Arial"/>
          <w:color w:val="1A1A1A"/>
          <w:sz w:val="20"/>
          <w:szCs w:val="20"/>
        </w:rPr>
        <w:t xml:space="preserve"> — before adding anything to Genie.</w:t>
      </w:r>
    </w:p>
    <w:p>
      <w:pPr>
        <w:pStyle w:val="ListParagraph"/>
        <w:numPr>
          <w:ilvl w:val="0"/>
          <w:numId w:val="2"/>
        </w:numPr>
        <w:spacing w:after="60" w:before="60"/>
      </w:pPr>
      <w:r>
        <w:rPr>
          <w:rFonts w:ascii="Arial" w:cs="Arial" w:eastAsia="Arial" w:hAnsi="Arial"/>
          <w:b/>
          <w:bCs/>
          <w:color w:val="1A1A1A"/>
          <w:sz w:val="20"/>
          <w:szCs w:val="20"/>
        </w:rPr>
        <w:t xml:space="preserve">Benchmark questions with SQL answers entered</w:t>
      </w:r>
      <w:r>
        <w:rPr>
          <w:rFonts w:ascii="Arial" w:cs="Arial" w:eastAsia="Arial" w:hAnsi="Arial"/>
          <w:color w:val="1A1A1A"/>
          <w:sz w:val="20"/>
          <w:szCs w:val="20"/>
        </w:rPr>
        <w:t xml:space="preserve"> — ready to score from the first test run.</w:t>
      </w:r>
    </w:p>
    <w:p>
      <w:pPr>
        <w:spacing w:after="0" w:before="80"/>
      </w:pPr>
      <w:r>
        <w:rPr>
          <w:rFonts w:ascii="Arial" w:cs="Arial" w:eastAsia="Arial" w:hAnsi="Arial"/>
          <w:color w:val="1A1A1A"/>
          <w:sz w:val="20"/>
          <w:szCs w:val="20"/>
        </w:rPr>
        <w:t xml:space="preserve"/>
      </w:r>
    </w:p>
    <w:p>
      <w:pPr>
        <w:pStyle w:val="Heading2"/>
        <w:pBdr>
          <w:bottom w:val="single" w:color="D6E4F0" w:sz="4" w:space="3"/>
        </w:pBdr>
        <w:spacing w:after="100" w:before="320"/>
      </w:pPr>
      <w:r>
        <w:rPr>
          <w:rFonts w:ascii="Arial" w:cs="Arial" w:eastAsia="Arial" w:hAnsi="Arial"/>
          <w:b/>
          <w:bCs/>
          <w:color w:val="1F5C99"/>
          <w:sz w:val="24"/>
          <w:szCs w:val="24"/>
        </w:rPr>
        <w:t xml:space="preserve">Knowledge store tool decision — at a glance</w:t>
      </w:r>
    </w:p>
    <w:p>
      <w:pPr>
        <w:spacing w:after="0" w:before="4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1"/>
              <w:left w:val="single" w:color="DDDDDD" w:sz="1"/>
              <w:bottom w:val="single" w:color="DDDDDD" w:sz="1"/>
              <w:right w:val="single" w:color="DDDDDD" w:sz="1"/>
            </w:tcBorders>
            <w:shd w:fill="1F5C99" w:val="clear"/>
            <w:tcMar>
              <w:top w:type="dxa" w:w="80"/>
              <w:left w:type="dxa" w:w="120"/>
              <w:bottom w:type="dxa" w:w="80"/>
              <w:right w:type="dxa" w:w="120"/>
            </w:tcMar>
          </w:tcPr>
          <w:p>
            <w:pPr>
              <w:spacing w:after="60" w:before="60"/>
            </w:pPr>
            <w:r>
              <w:rPr>
                <w:rFonts w:ascii="Arial" w:cs="Arial" w:eastAsia="Arial" w:hAnsi="Arial"/>
                <w:b/>
                <w:bCs/>
                <w:color w:val="FFFFFF"/>
                <w:sz w:val="18"/>
                <w:szCs w:val="18"/>
              </w:rPr>
              <w:t xml:space="preserve">You want to...</w:t>
            </w:r>
          </w:p>
        </w:tc>
        <w:tc>
          <w:tcPr>
            <w:tcW w:type="dxa" w:w="6160"/>
            <w:tcBorders>
              <w:top w:val="single" w:color="DDDDDD" w:sz="1"/>
              <w:left w:val="single" w:color="DDDDDD" w:sz="1"/>
              <w:bottom w:val="single" w:color="DDDDDD" w:sz="1"/>
              <w:right w:val="single" w:color="DDDDDD" w:sz="1"/>
            </w:tcBorders>
            <w:shd w:fill="1F5C99" w:val="clear"/>
            <w:tcMar>
              <w:top w:type="dxa" w:w="80"/>
              <w:left w:type="dxa" w:w="120"/>
              <w:bottom w:type="dxa" w:w="80"/>
              <w:right w:type="dxa" w:w="120"/>
            </w:tcMar>
          </w:tcPr>
          <w:p>
            <w:pPr>
              <w:spacing w:after="60" w:before="60"/>
            </w:pPr>
            <w:r>
              <w:rPr>
                <w:rFonts w:ascii="Arial" w:cs="Arial" w:eastAsia="Arial" w:hAnsi="Arial"/>
                <w:b/>
                <w:bCs/>
                <w:color w:val="FFFFFF"/>
                <w:sz w:val="18"/>
                <w:szCs w:val="18"/>
              </w:rPr>
              <w:t xml:space="preserve">Use this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Encode a complex join, COALESCE, or business filter</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Gold view (data engineering — not a Genie feature)</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Define how two tables join when FK is not in schema</w:t>
            </w:r>
          </w:p>
        </w:tc>
        <w:tc>
          <w:tcPr>
            <w:tcW w:type="dxa" w:w="6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Join relationship in the knowledge store</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Define a KPI or metric (revenue, utilization rate)</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SQL Measure expression</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Define a reusable filter (active loans, current quarter)</w:t>
            </w:r>
          </w:p>
        </w:tc>
        <w:tc>
          <w:tcPr>
            <w:tcW w:type="dxa" w:w="6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SQL Filter expression</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Define a derived grouping attribute (fiscal year, size band)</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SQL Dimension expression</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Reuse complex logic across multiple spaces or tools</w:t>
            </w:r>
          </w:p>
        </w:tc>
        <w:tc>
          <w:tcPr>
            <w:tcW w:type="dxa" w:w="6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Unity Catalog function (UDF)</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Answer a parameterized question with a Trusted badge</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Parameterized example SQL query or UC table function</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Show Genie how to answer a complex multi-step question</w:t>
            </w:r>
          </w:p>
        </w:tc>
        <w:tc>
          <w:tcPr>
            <w:tcW w:type="dxa" w:w="6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Example SQL query</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Tell Genie when to ask for clarification</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Text instruction</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Map business jargon with no SQL equivalent</w:t>
            </w:r>
          </w:p>
        </w:tc>
        <w:tc>
          <w:tcPr>
            <w:tcW w:type="dxa" w:w="6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Text instruction</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Fix an error in how Genie joins tables</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Fix the gold view or add a join relationship — never a text instruction</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Fix an error in a metric calculation</w:t>
            </w:r>
          </w:p>
        </w:tc>
        <w:tc>
          <w:tcPr>
            <w:tcW w:type="dxa" w:w="6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40" w:before="40"/>
            </w:pPr>
            <w:r>
              <w:rPr>
                <w:rFonts w:ascii="Arial" w:cs="Arial" w:eastAsia="Arial" w:hAnsi="Arial"/>
                <w:color w:val="1A1A1A"/>
                <w:sz w:val="18"/>
                <w:szCs w:val="18"/>
              </w:rPr>
              <w:t xml:space="preserve">Fix the gold view or add a SQL expression — never a text instruction</w:t>
            </w:r>
          </w:p>
        </w:tc>
      </w:tr>
    </w:tbl>
    <w:p>
      <w:pPr>
        <w:spacing w:after="0" w:before="80"/>
      </w:pPr>
      <w:r>
        <w:rPr>
          <w:rFonts w:ascii="Arial" w:cs="Arial" w:eastAsia="Arial" w:hAnsi="Arial"/>
          <w:color w:val="1A1A1A"/>
          <w:sz w:val="20"/>
          <w:szCs w:val="20"/>
        </w:rPr>
        <w:t xml:space="preserve"/>
      </w:r>
    </w:p>
    <w:p>
      <w:pPr>
        <w:pStyle w:val="Heading2"/>
        <w:pBdr>
          <w:bottom w:val="single" w:color="D6E4F0" w:sz="4" w:space="3"/>
        </w:pBdr>
        <w:spacing w:after="100" w:before="320"/>
      </w:pPr>
      <w:r>
        <w:rPr>
          <w:rFonts w:ascii="Arial" w:cs="Arial" w:eastAsia="Arial" w:hAnsi="Arial"/>
          <w:b/>
          <w:bCs/>
          <w:color w:val="1F5C99"/>
          <w:sz w:val="24"/>
          <w:szCs w:val="24"/>
        </w:rPr>
        <w:t xml:space="preserve">Red flags — stop and reassess if you see these</w:t>
      </w:r>
    </w:p>
    <w:p>
      <w:pPr>
        <w:spacing w:after="0" w:before="4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B1A1A" w:sz="18"/>
              <w:bottom w:val="none" w:color="FFFFFF" w:sz="0"/>
              <w:right w:val="none" w:color="FFFFFF" w:sz="0"/>
            </w:tcBorders>
            <w:shd w:fill="FDECEA" w:val="clear"/>
            <w:tcMar>
              <w:top w:type="dxa" w:w="120"/>
              <w:left w:type="dxa" w:w="200"/>
              <w:bottom w:type="dxa" w:w="120"/>
              <w:right w:type="dxa" w:w="200"/>
            </w:tcMar>
          </w:tcPr>
          <w:p>
            <w:pPr>
              <w:spacing w:after="60" w:before="0"/>
            </w:pPr>
            <w:r>
              <w:rPr>
                <w:rFonts w:ascii="Arial" w:cs="Arial" w:eastAsia="Arial" w:hAnsi="Arial"/>
                <w:b/>
                <w:bCs/>
                <w:color w:val="7B1A1A"/>
                <w:sz w:val="20"/>
                <w:szCs w:val="20"/>
              </w:rPr>
              <w:t xml:space="preserve">⚠  Common Mistake to Avoid</w:t>
            </w:r>
          </w:p>
          <w:p>
            <w:pPr>
              <w:spacing w:after="60" w:before="60"/>
            </w:pPr>
            <w:r>
              <w:rPr>
                <w:rFonts w:ascii="Arial" w:cs="Arial" w:eastAsia="Arial" w:hAnsi="Arial"/>
                <w:color w:val="1A1A1A"/>
                <w:sz w:val="19"/>
                <w:szCs w:val="19"/>
              </w:rPr>
              <w:t xml:space="preserve">You are adding a text instruction that contains SQL syntax, a JOIN keyword, a COALESCE, or a WHERE clause.</w:t>
            </w:r>
          </w:p>
        </w:tc>
      </w:tr>
    </w:tbl>
    <w:p>
      <w:pPr>
        <w:spacing w:after="0" w:before="4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B1A1A" w:sz="18"/>
              <w:bottom w:val="none" w:color="FFFFFF" w:sz="0"/>
              <w:right w:val="none" w:color="FFFFFF" w:sz="0"/>
            </w:tcBorders>
            <w:shd w:fill="FDECEA" w:val="clear"/>
            <w:tcMar>
              <w:top w:type="dxa" w:w="120"/>
              <w:left w:type="dxa" w:w="200"/>
              <w:bottom w:type="dxa" w:w="120"/>
              <w:right w:type="dxa" w:w="200"/>
            </w:tcMar>
          </w:tcPr>
          <w:p>
            <w:pPr>
              <w:spacing w:after="60" w:before="0"/>
            </w:pPr>
            <w:r>
              <w:rPr>
                <w:rFonts w:ascii="Arial" w:cs="Arial" w:eastAsia="Arial" w:hAnsi="Arial"/>
                <w:b/>
                <w:bCs/>
                <w:color w:val="7B1A1A"/>
                <w:sz w:val="20"/>
                <w:szCs w:val="20"/>
              </w:rPr>
              <w:t xml:space="preserve">⚠  Common Mistake to Avoid</w:t>
            </w:r>
          </w:p>
          <w:p>
            <w:pPr>
              <w:spacing w:after="60" w:before="60"/>
            </w:pPr>
            <w:r>
              <w:rPr>
                <w:rFonts w:ascii="Arial" w:cs="Arial" w:eastAsia="Arial" w:hAnsi="Arial"/>
                <w:color w:val="1A1A1A"/>
                <w:sz w:val="19"/>
                <w:szCs w:val="19"/>
              </w:rPr>
              <w:t xml:space="preserve">You have added more than 5 tables and have not yet run your benchmark questions.</w:t>
            </w:r>
          </w:p>
        </w:tc>
      </w:tr>
    </w:tbl>
    <w:p>
      <w:pPr>
        <w:spacing w:after="0" w:before="4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B1A1A" w:sz="18"/>
              <w:bottom w:val="none" w:color="FFFFFF" w:sz="0"/>
              <w:right w:val="none" w:color="FFFFFF" w:sz="0"/>
            </w:tcBorders>
            <w:shd w:fill="FDECEA" w:val="clear"/>
            <w:tcMar>
              <w:top w:type="dxa" w:w="120"/>
              <w:left w:type="dxa" w:w="200"/>
              <w:bottom w:type="dxa" w:w="120"/>
              <w:right w:type="dxa" w:w="200"/>
            </w:tcMar>
          </w:tcPr>
          <w:p>
            <w:pPr>
              <w:spacing w:after="60" w:before="0"/>
            </w:pPr>
            <w:r>
              <w:rPr>
                <w:rFonts w:ascii="Arial" w:cs="Arial" w:eastAsia="Arial" w:hAnsi="Arial"/>
                <w:b/>
                <w:bCs/>
                <w:color w:val="7B1A1A"/>
                <w:sz w:val="20"/>
                <w:szCs w:val="20"/>
              </w:rPr>
              <w:t xml:space="preserve">⚠  Common Mistake to Avoid</w:t>
            </w:r>
          </w:p>
          <w:p>
            <w:pPr>
              <w:spacing w:after="60" w:before="60"/>
            </w:pPr>
            <w:r>
              <w:rPr>
                <w:rFonts w:ascii="Arial" w:cs="Arial" w:eastAsia="Arial" w:hAnsi="Arial"/>
                <w:color w:val="1A1A1A"/>
                <w:sz w:val="19"/>
                <w:szCs w:val="19"/>
              </w:rPr>
              <w:t xml:space="preserve">You are adding silver tables directly without a gold view layer.</w:t>
            </w:r>
          </w:p>
        </w:tc>
      </w:tr>
    </w:tbl>
    <w:p>
      <w:pPr>
        <w:spacing w:after="0" w:before="4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B1A1A" w:sz="18"/>
              <w:bottom w:val="none" w:color="FFFFFF" w:sz="0"/>
              <w:right w:val="none" w:color="FFFFFF" w:sz="0"/>
            </w:tcBorders>
            <w:shd w:fill="FDECEA" w:val="clear"/>
            <w:tcMar>
              <w:top w:type="dxa" w:w="120"/>
              <w:left w:type="dxa" w:w="200"/>
              <w:bottom w:type="dxa" w:w="120"/>
              <w:right w:type="dxa" w:w="200"/>
            </w:tcMar>
          </w:tcPr>
          <w:p>
            <w:pPr>
              <w:spacing w:after="60" w:before="0"/>
            </w:pPr>
            <w:r>
              <w:rPr>
                <w:rFonts w:ascii="Arial" w:cs="Arial" w:eastAsia="Arial" w:hAnsi="Arial"/>
                <w:b/>
                <w:bCs/>
                <w:color w:val="7B1A1A"/>
                <w:sz w:val="20"/>
                <w:szCs w:val="20"/>
              </w:rPr>
              <w:t xml:space="preserve">⚠  Common Mistake to Avoid</w:t>
            </w:r>
          </w:p>
          <w:p>
            <w:pPr>
              <w:spacing w:after="60" w:before="60"/>
            </w:pPr>
            <w:r>
              <w:rPr>
                <w:rFonts w:ascii="Arial" w:cs="Arial" w:eastAsia="Arial" w:hAnsi="Arial"/>
                <w:color w:val="1A1A1A"/>
                <w:sz w:val="19"/>
                <w:szCs w:val="19"/>
              </w:rPr>
              <w:t xml:space="preserve">Your instruction count is growing and you keep adding more to fix errors.</w:t>
            </w:r>
          </w:p>
        </w:tc>
      </w:tr>
    </w:tbl>
    <w:p>
      <w:pPr>
        <w:spacing w:after="0" w:before="4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B1A1A" w:sz="18"/>
              <w:bottom w:val="none" w:color="FFFFFF" w:sz="0"/>
              <w:right w:val="none" w:color="FFFFFF" w:sz="0"/>
            </w:tcBorders>
            <w:shd w:fill="FDECEA" w:val="clear"/>
            <w:tcMar>
              <w:top w:type="dxa" w:w="120"/>
              <w:left w:type="dxa" w:w="200"/>
              <w:bottom w:type="dxa" w:w="120"/>
              <w:right w:type="dxa" w:w="200"/>
            </w:tcMar>
          </w:tcPr>
          <w:p>
            <w:pPr>
              <w:spacing w:after="60" w:before="0"/>
            </w:pPr>
            <w:r>
              <w:rPr>
                <w:rFonts w:ascii="Arial" w:cs="Arial" w:eastAsia="Arial" w:hAnsi="Arial"/>
                <w:b/>
                <w:bCs/>
                <w:color w:val="7B1A1A"/>
                <w:sz w:val="20"/>
                <w:szCs w:val="20"/>
              </w:rPr>
              <w:t xml:space="preserve">⚠  Common Mistake to Avoid</w:t>
            </w:r>
          </w:p>
          <w:p>
            <w:pPr>
              <w:spacing w:after="60" w:before="60"/>
            </w:pPr>
            <w:r>
              <w:rPr>
                <w:rFonts w:ascii="Arial" w:cs="Arial" w:eastAsia="Arial" w:hAnsi="Arial"/>
                <w:color w:val="1A1A1A"/>
                <w:sz w:val="19"/>
                <w:szCs w:val="19"/>
              </w:rPr>
              <w:t xml:space="preserve">Business users are getting plausible-sounding wrong answers rather than 'I don't know'.</w:t>
            </w:r>
          </w:p>
        </w:tc>
      </w:tr>
    </w:tbl>
    <w:p>
      <w:pPr>
        <w:spacing w:after="0" w:before="4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B1A1A" w:sz="18"/>
              <w:bottom w:val="none" w:color="FFFFFF" w:sz="0"/>
              <w:right w:val="none" w:color="FFFFFF" w:sz="0"/>
            </w:tcBorders>
            <w:shd w:fill="FDECEA" w:val="clear"/>
            <w:tcMar>
              <w:top w:type="dxa" w:w="120"/>
              <w:left w:type="dxa" w:w="200"/>
              <w:bottom w:type="dxa" w:w="120"/>
              <w:right w:type="dxa" w:w="200"/>
            </w:tcMar>
          </w:tcPr>
          <w:p>
            <w:pPr>
              <w:spacing w:after="60" w:before="0"/>
            </w:pPr>
            <w:r>
              <w:rPr>
                <w:rFonts w:ascii="Arial" w:cs="Arial" w:eastAsia="Arial" w:hAnsi="Arial"/>
                <w:b/>
                <w:bCs/>
                <w:color w:val="7B1A1A"/>
                <w:sz w:val="20"/>
                <w:szCs w:val="20"/>
              </w:rPr>
              <w:t xml:space="preserve">⚠  Common Mistake to Avoid</w:t>
            </w:r>
          </w:p>
          <w:p>
            <w:pPr>
              <w:spacing w:after="60" w:before="60"/>
            </w:pPr>
            <w:r>
              <w:rPr>
                <w:rFonts w:ascii="Arial" w:cs="Arial" w:eastAsia="Arial" w:hAnsi="Arial"/>
                <w:color w:val="1A1A1A"/>
                <w:sz w:val="19"/>
                <w:szCs w:val="19"/>
              </w:rPr>
              <w:t xml:space="preserve">A token limit warning has appeared — unneeded columns have not been removed from the gold view.</w:t>
            </w:r>
          </w:p>
        </w:tc>
      </w:tr>
    </w:tbl>
    <w:p>
      <w:pPr>
        <w:pageBreakBefore/>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none" w:color="FFFFFF" w:sz="0"/>
              <w:bottom w:val="none" w:color="FFFFFF" w:sz="0"/>
              <w:right w:val="none" w:color="FFFFFF" w:sz="0"/>
            </w:tcBorders>
            <w:shd w:fill="1F5C99" w:val="clear"/>
            <w:tcMar>
              <w:top w:type="dxa" w:w="160"/>
              <w:left w:type="dxa" w:w="240"/>
              <w:bottom w:type="dxa" w:w="160"/>
              <w:right w:type="dxa" w:w="240"/>
            </w:tcMar>
          </w:tcPr>
          <w:p>
            <w:pPr>
              <w:spacing w:before="0" w:after="60"/>
            </w:pPr>
            <w:r>
              <w:rPr>
                <w:rFonts w:ascii="Arial" w:cs="Arial" w:eastAsia="Arial" w:hAnsi="Arial"/>
                <w:b/>
                <w:bCs/>
                <w:color w:val="FFFFFF"/>
                <w:sz w:val="28"/>
                <w:szCs w:val="28"/>
              </w:rPr>
              <w:t xml:space="preserve">Further Reading</w:t>
            </w:r>
          </w:p>
          <w:p>
            <w:pPr>
              <w:spacing w:before="0" w:after="0"/>
            </w:pPr>
            <w:r>
              <w:rPr>
                <w:rFonts w:ascii="Arial" w:cs="Arial" w:eastAsia="Arial" w:hAnsi="Arial"/>
                <w:i/>
                <w:iCs/>
                <w:color w:val="C8DCF0"/>
                <w:sz w:val="18"/>
                <w:szCs w:val="18"/>
              </w:rPr>
              <w:t xml:space="preserve">Official Databricks documentation used to build this guide</w:t>
            </w:r>
          </w:p>
        </w:tc>
      </w:tr>
    </w:tbl>
    <w:p>
      <w:pPr>
        <w:spacing w:before="120" w:after="0"/>
      </w:pPr>
      <w:r>
        <w:t xml:space="preserve"/>
      </w:r>
    </w:p>
    <w:p>
      <w:pPr>
        <w:spacing w:before="0" w:after="80"/>
      </w:pPr>
      <w:r>
        <w:rPr>
          <w:rFonts w:ascii="Arial" w:cs="Arial" w:eastAsia="Arial" w:hAnsi="Arial"/>
          <w:b/>
          <w:bCs/>
          <w:color w:val="1A1A1A"/>
          <w:sz w:val="20"/>
          <w:szCs w:val="20"/>
        </w:rPr>
        <w:t xml:space="preserve">Genie Space Documentation</w:t>
      </w:r>
    </w:p>
    <w:p>
      <w:pPr>
        <w:spacing w:before="40" w:after="40"/>
      </w:pPr>
      <w:r>
        <w:rPr>
          <w:rFonts w:ascii="Arial" w:cs="Arial" w:eastAsia="Arial" w:hAnsi="Arial"/>
          <w:color w:val="555555"/>
          <w:sz w:val="19"/>
          <w:szCs w:val="19"/>
        </w:rPr>
        <w:t xml:space="preserve">Genie Space overview — what Genie is, how it works, limitations, and the compound AI system:  </w:t>
      </w:r>
      <w:hyperlink r:id="rId15" w:history="1">
        <w:r>
          <w:rPr>
            <w:rStyle w:val="Hyperlink"/>
            <w:rFonts w:ascii="Arial" w:cs="Arial" w:eastAsia="Arial" w:hAnsi="Arial"/>
            <w:sz w:val="19"/>
            <w:szCs w:val="19"/>
          </w:rPr>
          <w:t xml:space="preserve">docs.databricks.com/aws/en/genie/</w:t>
        </w:r>
      </w:hyperlink>
    </w:p>
    <w:p>
      <w:pPr>
        <w:spacing w:before="40" w:after="40"/>
      </w:pPr>
      <w:r>
        <w:rPr>
          <w:rFonts w:ascii="Arial" w:cs="Arial" w:eastAsia="Arial" w:hAnsi="Arial"/>
          <w:color w:val="555555"/>
          <w:sz w:val="19"/>
          <w:szCs w:val="19"/>
        </w:rPr>
        <w:t xml:space="preserve">Curate an effective Genie space — the primary best practices guide from Databricks covering scoping, instructions, testing, and iteration:  </w:t>
      </w:r>
      <w:hyperlink r:id="rId9" w:history="1">
        <w:r>
          <w:rPr>
            <w:rStyle w:val="Hyperlink"/>
            <w:rFonts w:ascii="Arial" w:cs="Arial" w:eastAsia="Arial" w:hAnsi="Arial"/>
            <w:sz w:val="19"/>
            <w:szCs w:val="19"/>
          </w:rPr>
          <w:t xml:space="preserve">docs.databricks.com/aws/en/genie/best-practices</w:t>
        </w:r>
      </w:hyperlink>
    </w:p>
    <w:p>
      <w:pPr>
        <w:spacing w:before="40" w:after="40"/>
      </w:pPr>
      <w:r>
        <w:rPr>
          <w:rFonts w:ascii="Arial" w:cs="Arial" w:eastAsia="Arial" w:hAnsi="Arial"/>
          <w:color w:val="555555"/>
          <w:sz w:val="19"/>
          <w:szCs w:val="19"/>
        </w:rPr>
        <w:t xml:space="preserve">Set up and manage a Genie space — requirements, permissions, creating the space, managing data objects, compute setup, and the 100-instruction limit:  </w:t>
      </w:r>
      <w:hyperlink r:id="rId10" w:history="1">
        <w:r>
          <w:rPr>
            <w:rStyle w:val="Hyperlink"/>
            <w:rFonts w:ascii="Arial" w:cs="Arial" w:eastAsia="Arial" w:hAnsi="Arial"/>
            <w:sz w:val="19"/>
            <w:szCs w:val="19"/>
          </w:rPr>
          <w:t xml:space="preserve">docs.databricks.com/aws/en/genie/set-up</w:t>
        </w:r>
      </w:hyperlink>
    </w:p>
    <w:p>
      <w:pPr>
        <w:spacing w:before="40" w:after="40"/>
      </w:pPr>
      <w:r>
        <w:rPr>
          <w:rFonts w:ascii="Arial" w:cs="Arial" w:eastAsia="Arial" w:hAnsi="Arial"/>
          <w:color w:val="555555"/>
          <w:sz w:val="19"/>
          <w:szCs w:val="19"/>
        </w:rPr>
        <w:t xml:space="preserve">Build a knowledge store — full reference for metadata customization, prompt matching (format assistance and entity matching), join relationships, and SQL expressions:  </w:t>
      </w:r>
      <w:hyperlink r:id="rId11" w:history="1">
        <w:r>
          <w:rPr>
            <w:rStyle w:val="Hyperlink"/>
            <w:rFonts w:ascii="Arial" w:cs="Arial" w:eastAsia="Arial" w:hAnsi="Arial"/>
            <w:sz w:val="19"/>
            <w:szCs w:val="19"/>
          </w:rPr>
          <w:t xml:space="preserve">docs.databricks.com/aws/en/genie/knowledge-store</w:t>
        </w:r>
      </w:hyperlink>
    </w:p>
    <w:p>
      <w:pPr>
        <w:spacing w:before="40" w:after="40"/>
      </w:pPr>
      <w:r>
        <w:rPr>
          <w:rFonts w:ascii="Arial" w:cs="Arial" w:eastAsia="Arial" w:hAnsi="Arial"/>
          <w:color w:val="555555"/>
          <w:sz w:val="19"/>
          <w:szCs w:val="19"/>
        </w:rPr>
        <w:t xml:space="preserve">Trusted assets — full guide to parameterized example SQL queries, UC table functions as trusted assets, permissions, and tips for writing functions:  </w:t>
      </w:r>
      <w:hyperlink r:id="rId12" w:history="1">
        <w:r>
          <w:rPr>
            <w:rStyle w:val="Hyperlink"/>
            <w:rFonts w:ascii="Arial" w:cs="Arial" w:eastAsia="Arial" w:hAnsi="Arial"/>
            <w:sz w:val="19"/>
            <w:szCs w:val="19"/>
          </w:rPr>
          <w:t xml:space="preserve">docs.databricks.com/aws/en/genie/trusted-assets</w:t>
        </w:r>
      </w:hyperlink>
    </w:p>
    <w:p>
      <w:pPr>
        <w:spacing w:before="40" w:after="40"/>
      </w:pPr>
      <w:r>
        <w:rPr>
          <w:rFonts w:ascii="Arial" w:cs="Arial" w:eastAsia="Arial" w:hAnsi="Arial"/>
          <w:color w:val="555555"/>
          <w:sz w:val="19"/>
          <w:szCs w:val="19"/>
        </w:rPr>
        <w:t xml:space="preserve">Benchmarks — setting up benchmark questions, providing SQL answers, running evaluations, and interpreting Good/Bad/Manual review ratings:  </w:t>
      </w:r>
      <w:hyperlink r:id="rId13" w:history="1">
        <w:r>
          <w:rPr>
            <w:rStyle w:val="Hyperlink"/>
            <w:rFonts w:ascii="Arial" w:cs="Arial" w:eastAsia="Arial" w:hAnsi="Arial"/>
            <w:sz w:val="19"/>
            <w:szCs w:val="19"/>
          </w:rPr>
          <w:t xml:space="preserve">docs.databricks.com/aws/en/genie/benchmarks</w:t>
        </w:r>
      </w:hyperlink>
    </w:p>
    <w:p>
      <w:pPr>
        <w:spacing w:before="40" w:after="40"/>
      </w:pPr>
      <w:r>
        <w:rPr>
          <w:rFonts w:ascii="Arial" w:cs="Arial" w:eastAsia="Arial" w:hAnsi="Arial"/>
          <w:color w:val="555555"/>
          <w:sz w:val="19"/>
          <w:szCs w:val="19"/>
        </w:rPr>
        <w:t xml:space="preserve">Troubleshoot Genie spaces — solutions for filtering errors, incorrect joins, metric calculation issues, timezone errors, token limit warnings, and performance problems:  </w:t>
      </w:r>
      <w:hyperlink r:id="rId14" w:history="1">
        <w:r>
          <w:rPr>
            <w:rStyle w:val="Hyperlink"/>
            <w:rFonts w:ascii="Arial" w:cs="Arial" w:eastAsia="Arial" w:hAnsi="Arial"/>
            <w:sz w:val="19"/>
            <w:szCs w:val="19"/>
          </w:rPr>
          <w:t xml:space="preserve">docs.databricks.com/aws/en/genie/troubleshooting</w:t>
        </w:r>
      </w:hyperlink>
    </w:p>
    <w:p>
      <w:pPr>
        <w:spacing w:before="120" w:after="0"/>
      </w:pPr>
      <w:r>
        <w:t xml:space="preserve"/>
      </w:r>
    </w:p>
    <w:p>
      <w:pPr>
        <w:spacing w:before="0" w:after="80"/>
      </w:pPr>
      <w:r>
        <w:rPr>
          <w:rFonts w:ascii="Arial" w:cs="Arial" w:eastAsia="Arial" w:hAnsi="Arial"/>
          <w:b/>
          <w:bCs/>
          <w:color w:val="1A1A1A"/>
          <w:sz w:val="20"/>
          <w:szCs w:val="20"/>
        </w:rPr>
        <w:t xml:space="preserve">Data Engineering and Unity Catalog</w:t>
      </w:r>
    </w:p>
    <w:p>
      <w:pPr>
        <w:spacing w:before="40" w:after="40"/>
      </w:pPr>
      <w:r>
        <w:rPr>
          <w:rFonts w:ascii="Arial" w:cs="Arial" w:eastAsia="Arial" w:hAnsi="Arial"/>
          <w:color w:val="555555"/>
          <w:sz w:val="19"/>
          <w:szCs w:val="19"/>
        </w:rPr>
        <w:t xml:space="preserve">Metric views — how to define pre-built measures, dimensions, and aggregations for analytical Genie spaces:  </w:t>
      </w:r>
      <w:hyperlink r:id="rId16" w:history="1">
        <w:r>
          <w:rPr>
            <w:rStyle w:val="Hyperlink"/>
            <w:rFonts w:ascii="Arial" w:cs="Arial" w:eastAsia="Arial" w:hAnsi="Arial"/>
            <w:sz w:val="19"/>
            <w:szCs w:val="19"/>
          </w:rPr>
          <w:t xml:space="preserve">docs.databricks.com/aws/en/metric-views/</w:t>
        </w:r>
      </w:hyperlink>
    </w:p>
    <w:p>
      <w:pPr>
        <w:spacing w:before="40" w:after="40"/>
      </w:pPr>
      <w:r>
        <w:rPr>
          <w:rFonts w:ascii="Arial" w:cs="Arial" w:eastAsia="Arial" w:hAnsi="Arial"/>
          <w:color w:val="555555"/>
          <w:sz w:val="19"/>
          <w:szCs w:val="19"/>
        </w:rPr>
        <w:t xml:space="preserve">User-defined functions (UDFs) in Unity Catalog — how to create, register, and manage UDFs including table functions used as trusted assets:  </w:t>
      </w:r>
      <w:hyperlink r:id="rId17" w:history="1">
        <w:r>
          <w:rPr>
            <w:rStyle w:val="Hyperlink"/>
            <w:rFonts w:ascii="Arial" w:cs="Arial" w:eastAsia="Arial" w:hAnsi="Arial"/>
            <w:sz w:val="19"/>
            <w:szCs w:val="19"/>
          </w:rPr>
          <w:t xml:space="preserve">docs.databricks.com/aws/en/udf/unity-catalog</w:t>
        </w:r>
      </w:hyperlink>
    </w:p>
    <w:p>
      <w:pPr>
        <w:spacing w:before="40" w:after="40"/>
      </w:pPr>
      <w:r>
        <w:rPr>
          <w:rFonts w:ascii="Arial" w:cs="Arial" w:eastAsia="Arial" w:hAnsi="Arial"/>
          <w:color w:val="555555"/>
          <w:sz w:val="19"/>
          <w:szCs w:val="19"/>
        </w:rPr>
        <w:t xml:space="preserve">Create a SQL table function — syntax and examples for writing parameterized SQL table functions, which are the foundation of UC trusted assets:  </w:t>
      </w:r>
      <w:hyperlink r:id="rId18" w:history="1">
        <w:r>
          <w:rPr>
            <w:rStyle w:val="Hyperlink"/>
            <w:rFonts w:ascii="Arial" w:cs="Arial" w:eastAsia="Arial" w:hAnsi="Arial"/>
            <w:sz w:val="19"/>
            <w:szCs w:val="19"/>
          </w:rPr>
          <w:t xml:space="preserve">docs.databricks.com/aws/en/sql/language-manual/sql-ref-syntax-ddl-create-sql-function</w:t>
        </w:r>
      </w:hyperlink>
    </w:p>
    <w:p>
      <w:pPr>
        <w:spacing w:before="40" w:after="40"/>
      </w:pPr>
      <w:r>
        <w:rPr>
          <w:rFonts w:ascii="Arial" w:cs="Arial" w:eastAsia="Arial" w:hAnsi="Arial"/>
          <w:color w:val="555555"/>
          <w:sz w:val="19"/>
          <w:szCs w:val="19"/>
        </w:rPr>
        <w:t xml:space="preserve">Manage privileges in Unity Catalog — granting SELECT, EXECUTE, and other permissions on catalogs, schemas, tables, and functions:  </w:t>
      </w:r>
      <w:hyperlink r:id="rId19" w:history="1">
        <w:r>
          <w:rPr>
            <w:rStyle w:val="Hyperlink"/>
            <w:rFonts w:ascii="Arial" w:cs="Arial" w:eastAsia="Arial" w:hAnsi="Arial"/>
            <w:sz w:val="19"/>
            <w:szCs w:val="19"/>
          </w:rPr>
          <w:t xml:space="preserve">docs.databricks.com/aws/en/data-governance/unity-catalog/manage-privileges/</w:t>
        </w:r>
      </w:hyperlink>
    </w:p>
    <w:p>
      <w:pPr>
        <w:spacing w:before="40" w:after="40"/>
      </w:pPr>
      <w:r>
        <w:rPr>
          <w:rFonts w:ascii="Arial" w:cs="Arial" w:eastAsia="Arial" w:hAnsi="Arial"/>
          <w:color w:val="555555"/>
          <w:sz w:val="19"/>
          <w:szCs w:val="19"/>
        </w:rPr>
        <w:t xml:space="preserve">Monitor Genie space usage with audit logs and alerts — tracking user questions, feedback, and space activity for governance:  </w:t>
      </w:r>
      <w:hyperlink r:id="rId20" w:history="1">
        <w:r>
          <w:rPr>
            <w:rStyle w:val="Hyperlink"/>
            <w:rFonts w:ascii="Arial" w:cs="Arial" w:eastAsia="Arial" w:hAnsi="Arial"/>
            <w:sz w:val="19"/>
            <w:szCs w:val="19"/>
          </w:rPr>
          <w:t xml:space="preserve">docs.databricks.com/aws/en/ai-bi/admin/audit</w:t>
        </w:r>
      </w:hyperlink>
    </w:p>
    <w:sectPr>
      <w:foot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6"/>
        <w:szCs w:val="16"/>
      </w:rPr>
      <w:t xml:space="preserve">Genie Space Best Practice Guide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1120" w:hanging="280"/>
      </w:pPr>
    </w:lvl>
  </w:abstractNum>
  <w:abstractNum w:abstractNumId="4"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0" w:before="0"/>
      <w:outlineLvl w:val="0"/>
    </w:pPr>
    <w:rPr>
      <w:rFonts w:ascii="Arial" w:cs="Arial" w:eastAsia="Arial" w:hAnsi="Arial"/>
      <w:b/>
      <w:bCs/>
      <w:color w:val="FFFFFF"/>
      <w:sz w:val="28"/>
      <w:szCs w:val="28"/>
    </w:rPr>
  </w:style>
  <w:style w:type="paragraph" w:styleId="Heading2">
    <w:name w:val="Heading 2"/>
    <w:basedOn w:val="Normal"/>
    <w:next w:val="Normal"/>
    <w:qFormat/>
    <w:pPr>
      <w:spacing w:after="100" w:before="320"/>
      <w:outlineLvl w:val="1"/>
    </w:pPr>
    <w:rPr>
      <w:rFonts w:ascii="Arial" w:cs="Arial" w:eastAsia="Arial" w:hAnsi="Arial"/>
      <w:b/>
      <w:bCs/>
      <w:color w:val="1F5C9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hyperlink" Target="https://docs.databricks.com/aws/en/genie/best-practices" TargetMode="External"/><Relationship Id="rId10" Type="http://schemas.openxmlformats.org/officeDocument/2006/relationships/hyperlink" Target="https://docs.databricks.com/aws/en/genie/set-up" TargetMode="External"/><Relationship Id="rId11" Type="http://schemas.openxmlformats.org/officeDocument/2006/relationships/hyperlink" Target="https://docs.databricks.com/aws/en/genie/knowledge-store" TargetMode="External"/><Relationship Id="rId12" Type="http://schemas.openxmlformats.org/officeDocument/2006/relationships/hyperlink" Target="https://docs.databricks.com/aws/en/genie/trusted-assets" TargetMode="External"/><Relationship Id="rId13" Type="http://schemas.openxmlformats.org/officeDocument/2006/relationships/hyperlink" Target="https://docs.databricks.com/aws/en/genie/benchmarks" TargetMode="External"/><Relationship Id="rId14" Type="http://schemas.openxmlformats.org/officeDocument/2006/relationships/hyperlink" Target="https://docs.databricks.com/aws/en/genie/troubleshooting" TargetMode="External"/><Relationship Id="rId15" Type="http://schemas.openxmlformats.org/officeDocument/2006/relationships/hyperlink" Target="https://docs.databricks.com/aws/en/genie/" TargetMode="External"/><Relationship Id="rId16" Type="http://schemas.openxmlformats.org/officeDocument/2006/relationships/hyperlink" Target="https://docs.databricks.com/aws/en/metric-views/" TargetMode="External"/><Relationship Id="rId17" Type="http://schemas.openxmlformats.org/officeDocument/2006/relationships/hyperlink" Target="https://docs.databricks.com/aws/en/udf/unity-catalog" TargetMode="External"/><Relationship Id="rId18" Type="http://schemas.openxmlformats.org/officeDocument/2006/relationships/hyperlink" Target="https://docs.databricks.com/aws/en/sql/language-manual/sql-ref-syntax-ddl-create-sql-function" TargetMode="External"/><Relationship Id="rId19" Type="http://schemas.openxmlformats.org/officeDocument/2006/relationships/hyperlink" Target="https://docs.databricks.com/aws/en/data-governance/unity-catalog/manage-privileges/" TargetMode="External"/><Relationship Id="rId20" Type="http://schemas.openxmlformats.org/officeDocument/2006/relationships/hyperlink" Target="https://docs.databricks.com/aws/en/ai-bi/admin/audit" TargetMode="Externa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2026-05-22T19:28:59.941Z</dcterms:created>
  <dcterms:modified xsi:type="dcterms:W3CDTF">2026-05-22T19:28:59.958Z</dcterms:modified>
</cp:coreProperties>
</file>

<file path=docProps/custom.xml><?xml version="1.0" encoding="utf-8"?>
<Properties xmlns="http://schemas.openxmlformats.org/officeDocument/2006/custom-properties" xmlns:vt="http://schemas.openxmlformats.org/officeDocument/2006/docPropsVTypes"/>
</file>