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F3864" w:sz="8"/>
              <w:right w:val="none" w:color="FFFFFF" w:sz="0"/>
            </w:tcBorders>
            <w:shd w:fill="1F3864" w:val="clear"/>
            <w:tcMar>
              <w:top w:type="dxa" w:w="200"/>
              <w:left w:type="dxa" w:w="200"/>
              <w:bottom w:type="dxa" w:w="200"/>
              <w:right w:type="dxa" w:w="200"/>
            </w:tcMar>
          </w:tcPr>
          <w:p>
            <w:pPr>
              <w:spacing w:after="60" w:before="60"/>
              <w:jc w:val="center"/>
            </w:pPr>
            <w:r>
              <w:rPr>
                <w:rFonts w:ascii="Arial" w:cs="Arial" w:eastAsia="Arial" w:hAnsi="Arial"/>
                <w:b/>
                <w:bCs/>
                <w:color w:val="FFFFFF"/>
                <w:sz w:val="36"/>
                <w:szCs w:val="36"/>
              </w:rPr>
              <w:t xml:space="preserve">ODAE  •  Databricks Genie Space Evaluation Standards</w:t>
            </w:r>
          </w:p>
          <w:p>
            <w:pPr>
              <w:spacing w:after="40" w:before="40"/>
              <w:jc w:val="center"/>
            </w:pPr>
            <w:r>
              <w:rPr>
                <w:rFonts w:ascii="Arial" w:cs="Arial" w:eastAsia="Arial" w:hAnsi="Arial"/>
                <w:i/>
                <w:iCs/>
                <w:color w:val="D9E1F2"/>
                <w:sz w:val="24"/>
                <w:szCs w:val="24"/>
              </w:rPr>
              <w:t xml:space="preserve">Basis for Genie Space Evaluation to Determine Suitability for Enterprise Deployment</w:t>
            </w:r>
          </w:p>
          <w:p>
            <w:pPr>
              <w:spacing w:after="60" w:before="40"/>
              <w:jc w:val="center"/>
            </w:pPr>
            <w:r>
              <w:rPr>
                <w:rFonts w:ascii="Arial" w:cs="Arial" w:eastAsia="Arial" w:hAnsi="Arial"/>
                <w:color w:val="BDD7EE"/>
                <w:sz w:val="20"/>
                <w:szCs w:val="20"/>
              </w:rPr>
              <w:t xml:space="preserve">Based on Industry Standards and Best Practices  │  May 2026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20"/>
              <w:left w:type="dxa" w:w="180"/>
              <w:bottom w:type="dxa" w:w="120"/>
              <w:right w:type="dxa" w:w="180"/>
            </w:tcMar>
          </w:tcPr>
          <w:p>
            <w:pPr>
              <w:spacing w:after="80" w:before="60"/>
            </w:pPr>
            <w:r>
              <w:rPr>
                <w:rFonts w:ascii="Arial" w:cs="Arial" w:eastAsia="Arial" w:hAnsi="Arial"/>
                <w:b/>
                <w:bCs/>
                <w:color w:val="000000"/>
                <w:sz w:val="24"/>
                <w:szCs w:val="24"/>
              </w:rPr>
              <w:t xml:space="preserve">BOTTOM LINE SUMMARY</w:t>
            </w:r>
          </w:p>
          <w:p>
            <w:pPr>
              <w:spacing w:after="40" w:before="40"/>
            </w:pPr>
            <w:r>
              <w:rPr>
                <w:rFonts w:ascii="Arial" w:cs="Arial" w:eastAsia="Arial" w:hAnsi="Arial"/>
                <w:b/>
                <w:bCs/>
                <w:color w:val="000000"/>
                <w:sz w:val="20"/>
                <w:szCs w:val="20"/>
              </w:rPr>
              <w:t xml:space="preserve">What this guide establishes: </w:t>
            </w:r>
            <w:r>
              <w:rPr>
                <w:rFonts w:ascii="Arial" w:cs="Arial" w:eastAsia="Arial" w:hAnsi="Arial"/>
                <w:color w:val="000000"/>
                <w:sz w:val="20"/>
                <w:szCs w:val="20"/>
              </w:rPr>
              <w:t xml:space="preserve">A compliance evaluation framework for making Databricks Genie Space deployment decisions. Three structured evaluation layers are required before a Genie Space is shared with business users. Each layer tests a distinct failure mode the others cannot detect, and each layer must be passed in sequence.</w:t>
            </w:r>
          </w:p>
          <w:p>
            <w:pPr>
              <w:spacing w:after="40" w:before="40"/>
            </w:pPr>
            <w:r>
              <w:rPr>
                <w:rFonts w:ascii="Arial" w:cs="Arial" w:eastAsia="Arial" w:hAnsi="Arial"/>
                <w:b/>
                <w:bCs/>
                <w:color w:val="000000"/>
                <w:sz w:val="20"/>
                <w:szCs w:val="20"/>
              </w:rPr>
              <w:t xml:space="preserve">What is a Genie Space: </w:t>
            </w:r>
            <w:r>
              <w:rPr>
                <w:rFonts w:ascii="Arial" w:cs="Arial" w:eastAsia="Arial" w:hAnsi="Arial"/>
                <w:color w:val="000000"/>
                <w:sz w:val="20"/>
                <w:szCs w:val="20"/>
              </w:rPr>
              <w:t xml:space="preserve">A natural language-to-SQL (NL2SQL) conversational analytics tool. When a business user asks a question, Genie generates and executes a SQL query against structured Unity Catalog data, returning a result set. This is fundamentally different from a RAG system — the primary failure mode is incorrect SQL, not hallucination.</w:t>
            </w:r>
          </w:p>
          <w:p>
            <w:pPr>
              <w:spacing w:after="40" w:before="40"/>
            </w:pPr>
            <w:r>
              <w:rPr>
                <w:rFonts w:ascii="Arial" w:cs="Arial" w:eastAsia="Arial" w:hAnsi="Arial"/>
                <w:b/>
                <w:bCs/>
                <w:color w:val="000000"/>
                <w:sz w:val="20"/>
                <w:szCs w:val="20"/>
              </w:rPr>
              <w:t xml:space="preserve">Evaluation Framework: </w:t>
            </w:r>
            <w:r>
              <w:rPr>
                <w:rFonts w:ascii="Arial" w:cs="Arial" w:eastAsia="Arial" w:hAnsi="Arial"/>
                <w:color w:val="000000"/>
                <w:sz w:val="20"/>
                <w:szCs w:val="20"/>
              </w:rPr>
              <w:t xml:space="preserve">Three sequential evaluation layers are required before deployment. Layer 1 (Genie Benchmarks) tests automated SQL accuracy using Genie’s native benchmark tool — every question must have a SQL answer so every result is objectively scored Good or Bad. Layer 2 (SME Structured Review) tests domain expert judgment on SQL logic correctness, result-set completeness, and data value accuracy using an offline scoring packet. Layer 3 (Business User Pilot) tests whether business users can complete their actual tasks using the space, scored via a mandatory per-interaction rating form.</w:t>
            </w:r>
          </w:p>
          <w:p>
            <w:pPr>
              <w:spacing w:after="40" w:before="40"/>
            </w:pPr>
            <w:r>
              <w:rPr>
                <w:rFonts w:ascii="Arial" w:cs="Arial" w:eastAsia="Arial" w:hAnsi="Arial"/>
                <w:b/>
                <w:bCs/>
                <w:color w:val="000000"/>
                <w:sz w:val="20"/>
                <w:szCs w:val="20"/>
              </w:rPr>
              <w:t xml:space="preserve">Why we use this framework: </w:t>
            </w:r>
            <w:r>
              <w:rPr>
                <w:rFonts w:ascii="Arial" w:cs="Arial" w:eastAsia="Arial" w:hAnsi="Arial"/>
                <w:color w:val="000000"/>
                <w:sz w:val="20"/>
                <w:szCs w:val="20"/>
              </w:rPr>
              <w:t xml:space="preserve">No single layer can substitute for the others. Genie’s native UI feedback (thumbs up/down, Ask for Review, Monitor tab) is purpose-built for post-deployment quality monitoring — it is not a pre-deployment evaluation tool. UI feedback produces unscored, inconsistently recorded click signals that cannot support a deployment gate decision. Genie Benchmarks are the correct pre-deployment tool for Layer 1: Databricks describes them as ‘moving beyond subjective assessment to measurable validation.’ A structured three-layer approach is required because Layer 1 automated benchmarks cannot detect SQL logic errors that require domain knowledge to identify (Layer 2), and Layer 2 expert review cannot detect whether business users can independently complete their tasks using the space (Layer 3). Research from Stanford CRFM (HELM, 2023) and Ipeirotis &amp; Zheng (IEEE TKDE, 2025) establishes that single-metric evaluation is insufficient for responsible AI deployment — accuracy alone does not predict user utility. The NL2SQL-specific lab-to-production gap (cited in Mehta, 2025 — approximately 37%) means a space scoring well on benchmarks may still underperform on unconstrained production questions, making staged rollout mandatory.</w:t>
            </w:r>
          </w:p>
          <w:p>
            <w:pPr>
              <w:spacing w:after="40" w:before="40"/>
            </w:pPr>
            <w:r>
              <w:rPr>
                <w:rFonts w:ascii="Arial" w:cs="Arial" w:eastAsia="Arial" w:hAnsi="Arial"/>
                <w:b/>
                <w:bCs/>
                <w:color w:val="000000"/>
                <w:sz w:val="20"/>
                <w:szCs w:val="20"/>
              </w:rPr>
              <w:t xml:space="preserve">Genie’s UI feedback mechanism </w:t>
            </w:r>
            <w:r>
              <w:rPr>
                <w:rFonts w:ascii="Arial" w:cs="Arial" w:eastAsia="Arial" w:hAnsi="Arial"/>
                <w:color w:val="000000"/>
                <w:sz w:val="20"/>
                <w:szCs w:val="20"/>
              </w:rPr>
              <w:t xml:space="preserve">(thumbs up/down, Ask for Review, Monitor tab) is designed for post-deployment monitoring but is also used as a supplementary feedback mechanism during pre-deployment evaluation to improve space accuracy. It does not replace scored evaluation evidence.</w:t>
            </w:r>
          </w:p>
          <w:p>
            <w:pPr>
              <w:spacing w:after="40" w:before="40"/>
            </w:pPr>
            <w:r>
              <w:rPr>
                <w:rFonts w:ascii="Arial" w:cs="Arial" w:eastAsia="Arial" w:hAnsi="Arial"/>
                <w:b/>
                <w:bCs/>
                <w:color w:val="000000"/>
                <w:sz w:val="20"/>
                <w:szCs w:val="20"/>
              </w:rPr>
              <w:t xml:space="preserve">All thresholds depend on the risk tier </w:t>
            </w:r>
            <w:r>
              <w:rPr>
                <w:rFonts w:ascii="Arial" w:cs="Arial" w:eastAsia="Arial" w:hAnsi="Arial"/>
                <w:color w:val="000000"/>
                <w:sz w:val="20"/>
                <w:szCs w:val="20"/>
              </w:rPr>
              <w:t xml:space="preserve">assigned before evaluation begins. The tier cannot be changed after results are seen. Thresholds are derived from NL2SQL academic research benchmarks and enterprise AI governance standards.</w:t>
            </w:r>
          </w:p>
          <w:p>
            <w:pPr>
              <w:spacing w:after="40" w:before="40"/>
            </w:pPr>
            <w:r>
              <w:rPr>
                <w:rFonts w:ascii="Arial" w:cs="Arial" w:eastAsia="Arial" w:hAnsi="Arial"/>
                <w:b/>
                <w:bCs/>
                <w:color w:val="000000"/>
                <w:sz w:val="20"/>
                <w:szCs w:val="20"/>
              </w:rPr>
              <w:t xml:space="preserve">Staged rollout is mandatory: </w:t>
            </w:r>
            <w:r>
              <w:rPr>
                <w:rFonts w:ascii="Arial" w:cs="Arial" w:eastAsia="Arial" w:hAnsi="Arial"/>
                <w:color w:val="000000"/>
                <w:sz w:val="20"/>
                <w:szCs w:val="20"/>
              </w:rPr>
              <w:t xml:space="preserve">A lab-to-production gap means a space scoring well in structured evaluation may underperform on unconstrained production questions. Staged rollout (10% → 25% → 50% → 100%) is required to detect this before full deployment.</w:t>
            </w:r>
          </w:p>
          <w:p>
            <w:pPr>
              <w:spacing w:after="60" w:before="80"/>
            </w:pPr>
            <w:r>
              <w:rPr>
                <w:rFonts w:ascii="Arial" w:cs="Arial" w:eastAsia="Arial" w:hAnsi="Arial"/>
                <w:i/>
                <w:iCs/>
                <w:color w:val="000000"/>
                <w:sz w:val="20"/>
                <w:szCs w:val="20"/>
              </w:rPr>
              <w:t xml:space="preserve">Note: Scoring thresholds, dimension priorities, and behavioral anchors are in Appendix A.</w:t>
            </w:r>
          </w:p>
          <w:p>
            <w:pPr>
              <w:spacing w:after="40" w:before="40"/>
            </w:pPr>
            <w:r>
              <w:rPr>
                <w:rFonts w:ascii="Arial" w:cs="Arial" w:eastAsia="Arial" w:hAnsi="Arial"/>
                <w:b/>
                <w:bCs/>
                <w:color w:val="000000"/>
                <w:sz w:val="20"/>
                <w:szCs w:val="20"/>
              </w:rPr>
              <w:t xml:space="preserve">Accompanying Resources: </w:t>
            </w:r>
          </w:p>
          <w:p>
            <w:pPr>
              <w:spacing w:after="40" w:before="40"/>
            </w:pPr>
            <w:r>
              <w:rPr>
                <w:rFonts w:ascii="Arial" w:cs="Arial" w:eastAsia="Arial" w:hAnsi="Arial"/>
                <w:color w:val="000000"/>
                <w:sz w:val="20"/>
                <w:szCs w:val="20"/>
              </w:rPr>
              <w:t xml:space="preserve">  •  Before you Build – Understanding Your Users’ Genie Space Needs</w:t>
            </w:r>
          </w:p>
          <w:p>
            <w:pPr>
              <w:spacing w:after="40" w:before="40"/>
            </w:pPr>
            <w:r>
              <w:rPr>
                <w:rFonts w:ascii="Arial" w:cs="Arial" w:eastAsia="Arial" w:hAnsi="Arial"/>
                <w:color w:val="000000"/>
                <w:sz w:val="20"/>
                <w:szCs w:val="20"/>
              </w:rPr>
              <w:t xml:space="preserve">  •  Databricks Genie Space Best Practice Guide</w:t>
            </w:r>
          </w:p>
          <w:p>
            <w:pPr>
              <w:spacing w:after="80" w:before="40"/>
            </w:pPr>
            <w:r>
              <w:rPr>
                <w:rFonts w:ascii="Arial" w:cs="Arial" w:eastAsia="Arial" w:hAnsi="Arial"/>
                <w:color w:val="000000"/>
                <w:sz w:val="20"/>
                <w:szCs w:val="20"/>
              </w:rPr>
              <w:t xml:space="preserve">  •  Genie Space Tester Guidance Review and Handout Materials</w:t>
            </w:r>
          </w:p>
        </w:tc>
      </w:tr>
    </w:tbl>
    <w:p>
      <w:pPr>
        <w:spacing w:after="120" w:before="0"/>
      </w:pPr>
    </w:p>
    <w:p>
      <w:pPr>
        <w:pStyle w:val="Heading1"/>
        <w:spacing w:after="120" w:before="240"/>
      </w:pPr>
      <w:r>
        <w:rPr>
          <w:rFonts w:ascii="Arial" w:cs="Arial" w:eastAsia="Arial" w:hAnsi="Arial"/>
          <w:b/>
          <w:bCs/>
          <w:color w:val="1F3864"/>
          <w:sz w:val="32"/>
          <w:szCs w:val="32"/>
        </w:rPr>
        <w:t xml:space="preserve">Contents</w:t>
      </w:r>
    </w:p>
    <w:p>
      <w:pPr>
        <w:spacing w:after="40" w:before="40"/>
        <w:jc w:val="left"/>
      </w:pPr>
      <w:r>
        <w:rPr>
          <w:rFonts w:ascii="Arial" w:cs="Arial" w:eastAsia="Arial" w:hAnsi="Arial"/>
          <w:b w:val="false"/>
          <w:bCs w:val="false"/>
          <w:i w:val="false"/>
          <w:iCs w:val="false"/>
          <w:color w:val="000000"/>
          <w:sz w:val="24"/>
          <w:szCs w:val="24"/>
        </w:rPr>
        <w:t xml:space="preserve">1.  Genie Is Different: What Changes About Evaluation</w:t>
      </w:r>
    </w:p>
    <w:p>
      <w:pPr>
        <w:spacing w:after="40" w:before="40"/>
        <w:jc w:val="left"/>
      </w:pPr>
      <w:r>
        <w:rPr>
          <w:rFonts w:ascii="Arial" w:cs="Arial" w:eastAsia="Arial" w:hAnsi="Arial"/>
          <w:b w:val="false"/>
          <w:bCs w:val="false"/>
          <w:i w:val="false"/>
          <w:iCs w:val="false"/>
          <w:color w:val="000000"/>
          <w:sz w:val="24"/>
          <w:szCs w:val="24"/>
        </w:rPr>
        <w:t xml:space="preserve">2.  Risk Classification</w:t>
      </w:r>
    </w:p>
    <w:p>
      <w:pPr>
        <w:spacing w:after="40" w:before="40"/>
        <w:jc w:val="left"/>
      </w:pPr>
      <w:r>
        <w:rPr>
          <w:rFonts w:ascii="Arial" w:cs="Arial" w:eastAsia="Arial" w:hAnsi="Arial"/>
          <w:b w:val="false"/>
          <w:bCs w:val="false"/>
          <w:i w:val="false"/>
          <w:iCs w:val="false"/>
          <w:color w:val="000000"/>
          <w:sz w:val="24"/>
          <w:szCs w:val="24"/>
        </w:rPr>
        <w:t xml:space="preserve">3.  Three-Layer Evaluation Framework Overview</w:t>
      </w:r>
    </w:p>
    <w:p>
      <w:pPr>
        <w:spacing w:after="40" w:before="40"/>
        <w:jc w:val="left"/>
      </w:pPr>
      <w:r>
        <w:rPr>
          <w:rFonts w:ascii="Arial" w:cs="Arial" w:eastAsia="Arial" w:hAnsi="Arial"/>
          <w:b w:val="false"/>
          <w:bCs w:val="false"/>
          <w:i w:val="false"/>
          <w:iCs w:val="false"/>
          <w:color w:val="000000"/>
          <w:sz w:val="24"/>
          <w:szCs w:val="24"/>
        </w:rPr>
        <w:t xml:space="preserve">4.  The Fundamental Principle: UI Feedback vs. Structured Evaluation</w:t>
      </w:r>
    </w:p>
    <w:p>
      <w:pPr>
        <w:spacing w:after="40" w:before="40"/>
        <w:jc w:val="left"/>
      </w:pPr>
      <w:r>
        <w:rPr>
          <w:rFonts w:ascii="Arial" w:cs="Arial" w:eastAsia="Arial" w:hAnsi="Arial"/>
          <w:b w:val="false"/>
          <w:bCs w:val="false"/>
          <w:i w:val="false"/>
          <w:iCs w:val="false"/>
          <w:color w:val="000000"/>
          <w:sz w:val="24"/>
          <w:szCs w:val="24"/>
        </w:rPr>
        <w:t xml:space="preserve">5.  Pre-Deployment Gate: Three-Layer Evaluation</w:t>
      </w:r>
    </w:p>
    <w:p>
      <w:pPr>
        <w:spacing w:after="40" w:before="40"/>
        <w:jc w:val="left"/>
      </w:pPr>
      <w:r>
        <w:rPr>
          <w:rFonts w:ascii="Arial" w:cs="Arial" w:eastAsia="Arial" w:hAnsi="Arial"/>
          <w:b w:val="false"/>
          <w:bCs w:val="false"/>
          <w:i w:val="false"/>
          <w:iCs w:val="false"/>
          <w:color w:val="000000"/>
          <w:sz w:val="24"/>
          <w:szCs w:val="24"/>
        </w:rPr>
        <w:t xml:space="preserve">6.  Phased Deployment Gates and Decision Rules</w:t>
      </w:r>
    </w:p>
    <w:p>
      <w:pPr>
        <w:spacing w:after="40" w:before="40"/>
        <w:jc w:val="left"/>
      </w:pPr>
      <w:r>
        <w:rPr>
          <w:rFonts w:ascii="Arial" w:cs="Arial" w:eastAsia="Arial" w:hAnsi="Arial"/>
          <w:b w:val="false"/>
          <w:bCs w:val="false"/>
          <w:i w:val="false"/>
          <w:iCs w:val="false"/>
          <w:color w:val="000000"/>
          <w:sz w:val="24"/>
          <w:szCs w:val="24"/>
        </w:rPr>
        <w:t xml:space="preserve">7.  Ongoing Monitoring After Deployment</w:t>
      </w:r>
    </w:p>
    <w:p>
      <w:pPr>
        <w:spacing w:after="40" w:before="40"/>
        <w:jc w:val="left"/>
      </w:pPr>
      <w:r>
        <w:rPr>
          <w:rFonts w:ascii="Arial" w:cs="Arial" w:eastAsia="Arial" w:hAnsi="Arial"/>
          <w:b w:val="false"/>
          <w:bCs w:val="false"/>
          <w:i w:val="false"/>
          <w:iCs w:val="false"/>
          <w:color w:val="000000"/>
          <w:sz w:val="24"/>
          <w:szCs w:val="24"/>
        </w:rPr>
        <w:t xml:space="preserve">8.  Evidence Package for Auditors</w:t>
      </w:r>
    </w:p>
    <w:p>
      <w:pPr>
        <w:spacing w:after="40" w:before="40"/>
        <w:jc w:val="left"/>
      </w:pPr>
      <w:r>
        <w:rPr>
          <w:rFonts w:ascii="Arial" w:cs="Arial" w:eastAsia="Arial" w:hAnsi="Arial"/>
          <w:b w:val="false"/>
          <w:bCs w:val="false"/>
          <w:i w:val="false"/>
          <w:iCs w:val="false"/>
          <w:color w:val="000000"/>
          <w:sz w:val="24"/>
          <w:szCs w:val="24"/>
        </w:rPr>
        <w:t xml:space="preserve">9.  References</w:t>
      </w:r>
    </w:p>
    <w:p>
      <w:pPr>
        <w:spacing w:after="40" w:before="40"/>
        <w:jc w:val="left"/>
      </w:pPr>
      <w:r>
        <w:rPr>
          <w:rFonts w:ascii="Arial" w:cs="Arial" w:eastAsia="Arial" w:hAnsi="Arial"/>
          <w:b w:val="false"/>
          <w:bCs w:val="false"/>
          <w:i w:val="false"/>
          <w:iCs w:val="false"/>
          <w:color w:val="000000"/>
          <w:sz w:val="24"/>
          <w:szCs w:val="24"/>
        </w:rPr>
        <w:t xml:space="preserve">Appendix A:  Thresholds, Weighted Scorecards, and Behavioral Anchors</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1  Genie Is Not a RAG System</w:t>
            </w:r>
          </w:p>
          <w:p>
            <w:pPr>
              <w:spacing w:after="40" w:before="40"/>
            </w:pPr>
            <w:r>
              <w:rPr>
                <w:rFonts w:ascii="Arial" w:cs="Arial" w:eastAsia="Arial" w:hAnsi="Arial"/>
                <w:i/>
                <w:iCs/>
                <w:color w:val="000000"/>
                <w:sz w:val="20"/>
                <w:szCs w:val="20"/>
              </w:rPr>
              <w:t xml:space="preserve">Understanding the NL2SQL evaluation context</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Genie is a natural language-to-SQL (NL2SQL) system. When a business user asks a question, Genie generates a SQL query and executes it against Unity Catalog data, returning a result set. This is fundamentally different from a Retrieval Augmented Generation (RAG) system, and this difference determines how evaluation works.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68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How Genie works — and what it means for evaluation</w:t>
            </w:r>
          </w:p>
        </w:tc>
      </w:tr>
      <w:tr>
        <w:tc>
          <w:tcPr>
            <w:tcW w:type="dxa" w:w="2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Primary accuracy question</w:t>
            </w:r>
          </w:p>
        </w:tc>
        <w:tc>
          <w:tcPr>
            <w:tcW w:type="dxa" w:w="6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Genie generate SQL that returned the correct result set? Specifically: right tables, right filters, right aggregations, and no silent row omissions.</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Primary failure mode</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Incorrect SQL — not hallucination. Genie can produce a confident, well-formatted result set that is entirely wrong because the SQL filtered incorrectly, joined the wrong tables, or aggregated at the wrong level.</w:t>
            </w:r>
          </w:p>
        </w:tc>
      </w:tr>
      <w:tr>
        <w:tc>
          <w:tcPr>
            <w:tcW w:type="dxa" w:w="2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Why SQL errors are dangerous</w:t>
            </w:r>
          </w:p>
        </w:tc>
        <w:tc>
          <w:tcPr>
            <w:tcW w:type="dxa" w:w="6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business user who cannot read SQL has no way to detect that the result set is wrong. An incorrect answer that looks correct is more dangerous than an obvious non-answer. Databricks best practices specifically flag result-set completeness as a NL2SQL-specific failure mode — silently missing rows that appear correct in aggregate.</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Automated scoring tool</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Genie’s native Benchmarks feature — compares Genie’s result set against a pre-written SQL answer. Every question must have a SQL answer so every question auto-scores Good or Bad. Manual Review Needed is an exception to investigate, not a planned scoring category.</w:t>
            </w:r>
          </w:p>
        </w:tc>
      </w:tr>
      <w:tr>
        <w:tc>
          <w:tcPr>
            <w:tcW w:type="dxa" w:w="2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Academic benchmark context</w:t>
            </w:r>
          </w:p>
        </w:tc>
        <w:tc>
          <w:tcPr>
            <w:tcW w:type="dxa" w:w="6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Human review focus</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Domain SMEs review SQL logic correctness and result-set completeness — did this SQL return the right rows with the right values? They do not need to read SQL syntax; they judge whether results answer the question correctly.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2  Risk Classification</w:t>
            </w:r>
          </w:p>
          <w:p>
            <w:pPr>
              <w:spacing w:after="40" w:before="40"/>
            </w:pPr>
            <w:r>
              <w:rPr>
                <w:rFonts w:ascii="Arial" w:cs="Arial" w:eastAsia="Arial" w:hAnsi="Arial"/>
                <w:i/>
                <w:iCs/>
                <w:color w:val="000000"/>
                <w:sz w:val="20"/>
                <w:szCs w:val="20"/>
              </w:rPr>
              <w:t xml:space="preserve">Assign a risk tier before evaluation begins — all thresholds depend on it</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The risk tier must be formally assigned and documented before any evaluation activity begins. It cannot be revised after results are seen. The only time a risk tier can be reassigned is if the space scope changes due to iterative development (see Databricks Genie Space Best Practice Guide). This principle is established by the ISACA AI Risk Tolerance Framework (Carmichael, 2024).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Risk Tier</w:t>
            </w:r>
          </w:p>
        </w:tc>
        <w:tc>
          <w:tcPr>
            <w:tcW w:type="dxa" w:w="4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Space characteristics</w:t>
            </w:r>
          </w:p>
        </w:tc>
        <w:tc>
          <w:tcPr>
            <w:tcW w:type="dxa" w:w="3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Examples</w:t>
            </w:r>
          </w:p>
        </w:tc>
      </w:tr>
      <w:tr>
        <w:tc>
          <w:tcPr>
            <w:tcW w:type="dxa" w:w="1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Low</w:t>
            </w:r>
          </w:p>
        </w:tc>
        <w:tc>
          <w:tcPr>
            <w:tcW w:type="dxa" w:w="4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Informational queries only. No decisions made directly from outputs. An incorrect answer causes inconvenience, not harm.</w:t>
            </w:r>
          </w:p>
        </w:tc>
        <w:tc>
          <w:tcPr>
            <w:tcW w:type="dxa" w:w="3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General data exploration. Historical trend reporting for non-sensitive domains.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Medium</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Outputs inform general business decisions. Wrong answers are more easily detected. An incorrect answer could cause a wrong decision, but the level of impact is considered less serious.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Portfolio summary reporting. Customer segment analysis reviewed by managers. Database queries via chat mode.</w:t>
            </w:r>
          </w:p>
        </w:tc>
      </w:tr>
      <w:tr>
        <w:tc>
          <w:tcPr>
            <w:tcW w:type="dxa" w:w="1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High</w:t>
            </w:r>
          </w:p>
        </w:tc>
        <w:tc>
          <w:tcPr>
            <w:tcW w:type="dxa" w:w="4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Outputs directly inform sensitive or critical regulatory, compliance, or policy decisions. An incorrect answer that goes undetected would cause significant concern or exposure.</w:t>
            </w:r>
          </w:p>
        </w:tc>
        <w:tc>
          <w:tcPr>
            <w:tcW w:type="dxa" w:w="3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Making credit decisions. Compliance reporting inputs. Outputs used in complex analyses such as from agent mode.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  Important Warning</w:t>
            </w:r>
          </w:p>
          <w:p>
            <w:pPr>
              <w:spacing w:after="40" w:before="40"/>
            </w:pPr>
            <w:r>
              <w:rPr>
                <w:rFonts w:ascii="Arial" w:cs="Arial" w:eastAsia="Arial" w:hAnsi="Arial"/>
                <w:color w:val="000000"/>
                <w:sz w:val="20"/>
                <w:szCs w:val="20"/>
              </w:rPr>
              <w:t xml:space="preserve">Risk tier must be formally assigned and approved by the Director’s office before evaluation begins. A space can move to a higher risk tier over time as the space is iteratively expanded. Each time the space charter is updated, the risk tier should be reconfirmed. If the space’s risk tier moves to a more sensitive level, it must be re-evaluated starting at Layer 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3  Three-Layer Evaluation Framework Overview</w:t>
            </w:r>
          </w:p>
          <w:p>
            <w:pPr>
              <w:spacing w:after="40" w:before="40"/>
            </w:pPr>
            <w:r>
              <w:rPr>
                <w:rFonts w:ascii="Arial" w:cs="Arial" w:eastAsia="Arial" w:hAnsi="Arial"/>
                <w:i/>
                <w:iCs/>
                <w:color w:val="000000"/>
                <w:sz w:val="20"/>
                <w:szCs w:val="20"/>
              </w:rPr>
              <w:t xml:space="preserve">Summary of each layer and tools used</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The table below gives the definition of the key terms used in this framework.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Precise definition and what it is NOT</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Benchmark Run
(Layer 1)</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The developer (project lead) runs the full benchmark question set. Every question has a SQL answer, so every question is automatically scored Good or Bad by comparing Genie’s result set against the pre-written SQL answer. Output is a pass rate percentage — scored, auditable, reproducible.
WHAT IT IS NOT: Free exploration by the developer asking questions and deciding whether they seem right. That produces subjective impressions, not audit evidence. It is also not acceptable for questions to lack SQL answers — Manual Review Needed results are exceptions to investigate, not a planned scoring category.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SME Structured Review
(Layer 2)</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Domain experts complete a standardized offline scoring packet. They score question-and-result-set pairs using a 1–5 scoring rubric. Output is scored and documented with written rationale. The Genie chat UI with thumbs up/down is used as a supplement to help improve space accuracy.
WHAT IT IS NOT: Having SMEs use the Genie chat UI and click thumbs up/down or Ask for Review. Those UI tools are production monitoring mechanisms — they produce unscored, undocumented click signals that cannot support a deployment gate decision.</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Business User Pilot
(Layer 3)</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Business users work through a pre-defined structured task list in the Genie UI and complete a mandatory per-interaction rating form after each response. The per-interaction form is the primary scoring evidence for the gate. The Genie UI thumbs up/down is used as a supplement.
WHAT IT IS NOT: Giving users access and waiting for thumbs up/down feedback over time. A tester who does not complete the structured task list does not contribute valid evaluation data.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UI Feedback
(thumbs up/down, Ask for Review, Monitor tab)</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A post-deployment quality monitoring and iterative improvement mechanism. Excellent for catching production errors, triggering knowledge mining, and tracking usage trends.
WHAT IT IS NOT: A pre-deployment evaluation tool. It produces unstructured, inconsistently recorded signal without scores, rubrics, or pass rates.</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Benchmarks</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A structured accuracy evaluation tool built into Genie. Databricks describes it as ‘moving beyond subjective assessment to measurable validation.’ This is the correct tool for Layer 1 — it produces scored, timestamped, reproducible results.
WHAT IT IS NOT: The same as UI feedback. Benchmarks are a structured evaluation mechanism; thumbs up/down are a monitoring mechanism. These are distinct features with distinct purposes.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4  The Fundamental Principle: UI Feedback vs. Structured Evaluation</w:t>
            </w:r>
          </w:p>
          <w:p>
            <w:pPr>
              <w:spacing w:after="40" w:before="40"/>
            </w:pPr>
            <w:r>
              <w:rPr>
                <w:rFonts w:ascii="Arial" w:cs="Arial" w:eastAsia="Arial" w:hAnsi="Arial"/>
                <w:i/>
                <w:iCs/>
                <w:color w:val="000000"/>
                <w:sz w:val="20"/>
                <w:szCs w:val="20"/>
              </w:rPr>
              <w:t xml:space="preserve">Research backing evaluation principles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Core Principle: Genie’s UI feedback mechanism is designed for ongoing production monitoring. It is not a pre-deployment evaluation tool.</w:t>
            </w:r>
          </w:p>
          <w:p>
            <w:pPr>
              <w:spacing w:after="40" w:before="40"/>
            </w:pPr>
            <w:r>
              <w:rPr>
                <w:rFonts w:ascii="Arial" w:cs="Arial" w:eastAsia="Arial" w:hAnsi="Arial"/>
                <w:color w:val="000000"/>
                <w:sz w:val="20"/>
                <w:szCs w:val="20"/>
              </w:rPr>
              <w:t xml:space="preserve">The Genie UI provides thumbs up/down ratings, ‘Ask for Review’ requests, and the Monitor tab. These are purpose-built for post-deployment quality monitoring. They are not designed to produce the scored, auditable evidence required for a deployment gate decision — though they can be used to supplement human review layers and help improve accuracy during the pilot. Using UI feedback clicks as primary deployment gate evidence creates three problems auditors will identify: (1) the signal is sparse — most users do not rate responses; (2) the signal is unstructured — a thumbs down with no comment provides no diagnostic information; and (3) the signal is not scored — a list of downvotes cannot be converted into a pass rate percentage.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Genie mechanism</w:t>
            </w:r>
          </w:p>
        </w:tc>
        <w:tc>
          <w:tcPr>
            <w:tcW w:type="dxa" w:w="6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Designed for — and NOT designed for</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Thumbs up / thumbs down</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post-deployment quality signal and knowledge mining. Not designed for: producing a scored result, serving as audit evidence, or replacing structured rubric-based review.</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Ask for Review / Request Review</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allowing live users to flag responses they want verified before acting on. Databricks explicitly describes it as helping users ‘get a second opinion before presenting findings as factual’ — a production use case. Not designed for: pre-deployment Layer 2 SME review.</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tab</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reviewing questions asked, user feedback trends, and weekly activity digest after deployment. Not designed for: generating a pre-deployment pass/fail score.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Benchmarks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systematic pre-deployment accuracy testing and ongoing re-evaluation after space changes. This IS the correct tool for Layer 1.</w:t>
            </w:r>
          </w:p>
        </w:tc>
      </w:tr>
    </w:tbl>
    <w:p>
      <w:pPr>
        <w:spacing w:after="80" w:before="0"/>
      </w:pPr>
    </w:p>
    <w:p>
      <w:pPr>
        <w:spacing w:after="40" w:before="100"/>
        <w:jc w:val="left"/>
      </w:pPr>
      <w:r>
        <w:rPr>
          <w:rFonts w:ascii="Arial" w:cs="Arial" w:eastAsia="Arial" w:hAnsi="Arial"/>
          <w:b/>
          <w:bCs/>
          <w:i w:val="false"/>
          <w:iCs w:val="false"/>
          <w:color w:val="000000"/>
          <w:sz w:val="24"/>
          <w:szCs w:val="24"/>
        </w:rPr>
        <w:t xml:space="preserve">Supporting citations:</w:t>
      </w:r>
    </w:p>
    <w:p>
      <w:pPr>
        <w:spacing w:after="60" w:before="40"/>
        <w:jc w:val="left"/>
      </w:pPr>
      <w:r>
        <w:rPr>
          <w:rFonts w:ascii="Arial" w:cs="Arial" w:eastAsia="Arial" w:hAnsi="Arial"/>
          <w:b w:val="false"/>
          <w:bCs w:val="false"/>
          <w:i w:val="false"/>
          <w:iCs w:val="false"/>
          <w:color w:val="000000"/>
          <w:sz w:val="24"/>
          <w:szCs w:val="24"/>
        </w:rPr>
        <w:t xml:space="preserve">Databricks own product framing confirms this distinction. Databricks (February 2026) states that building trust requires ‘moving beyond subjective assessment to measurable validation’ and that benchmarks provide ‘a data-driven way to evaluate the quality of your Genie space.’ The Monitor tab product description explicitly frames it as a tool to ‘understand usage and adoption’ and ‘track every question asked… to improve quality over time’ — post-deployment framing.</w:t>
      </w:r>
    </w:p>
    <w:p>
      <w:pPr>
        <w:spacing w:after="60" w:before="40"/>
        <w:jc w:val="left"/>
      </w:pPr>
      <w:r>
        <w:rPr>
          <w:rFonts w:ascii="Arial" w:cs="Arial" w:eastAsia="Arial" w:hAnsi="Arial"/>
          <w:b w:val="false"/>
          <w:bCs w:val="false"/>
          <w:i w:val="false"/>
          <w:iCs w:val="false"/>
          <w:color w:val="000000"/>
          <w:sz w:val="24"/>
          <w:szCs w:val="24"/>
        </w:rPr>
        <w:t xml:space="preserve">Research on implicit feedback sparsity: Pang, Roller, Cho, He &amp; Weston (NYU/Meta AI, EACL 2024, arXiv:2307.14117) found that organic users provide sparse, unreliable explicit ratings: ‘organic users may not want to be burdened with providing explicit signals, or else may provide unreliable information.’ Snorkel AI (2026) states: ‘the lack of clear criteria fails to capture the specific qualities of a response and makes it difficult to distinguish between good and better or bad and unacceptable.’</w:t>
      </w:r>
    </w:p>
    <w:p>
      <w:pPr>
        <w:spacing w:after="80" w:before="40"/>
        <w:jc w:val="left"/>
      </w:pPr>
      <w:r>
        <w:rPr>
          <w:rFonts w:ascii="Arial" w:cs="Arial" w:eastAsia="Arial" w:hAnsi="Arial"/>
          <w:b w:val="false"/>
          <w:bCs w:val="false"/>
          <w:i w:val="false"/>
          <w:iCs w:val="false"/>
          <w:color w:val="000000"/>
          <w:sz w:val="24"/>
          <w:szCs w:val="24"/>
        </w:rPr>
        <w:t xml:space="preserve">Audit standards: Staufer, Yang, Reuel &amp; Casper (2025, arXiv:2504.13839) establish that AI audits can only fulfill their role if underlying evaluations are technically rigorous, and that not all evaluations are equally rigorous. NIST AI RMF (2023) requires systematic, documented testing — not passive feedback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5  Pre-Deployment Gate: Three-Layer Evaluation</w:t>
            </w:r>
          </w:p>
          <w:p>
            <w:pPr>
              <w:spacing w:after="40" w:before="40"/>
            </w:pPr>
            <w:r>
              <w:rPr>
                <w:rFonts w:ascii="Arial" w:cs="Arial" w:eastAsia="Arial" w:hAnsi="Arial"/>
                <w:i/>
                <w:iCs/>
                <w:color w:val="000000"/>
                <w:sz w:val="20"/>
                <w:szCs w:val="20"/>
              </w:rPr>
              <w:t xml:space="preserve">All three layers required in sequence — each tests a distinct failure mode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How the three layers relate to each other</w:t>
            </w:r>
          </w:p>
          <w:p>
            <w:pPr>
              <w:spacing w:after="40" w:before="40"/>
            </w:pPr>
            <w:r>
              <w:rPr>
                <w:rFonts w:ascii="Arial" w:cs="Arial" w:eastAsia="Arial" w:hAnsi="Arial"/>
                <w:color w:val="000000"/>
                <w:sz w:val="20"/>
                <w:szCs w:val="20"/>
              </w:rPr>
              <w:t xml:space="preserve">Layer 1 tests whether Genie generates correct SQL on a controlled benchmark set — automated, objective, scored as a pass rate percentage. Layer 2 tests whether a domain expert agrees that the SQL logic and result sets are correct — human judgment on sampled responses, scored with a 1–5 rubric. Layer 3 tests whether business users can use the space to answer their questions — structured pilot with a per-interaction rating form.</w:t>
            </w:r>
          </w:p>
          <w:p>
            <w:pPr>
              <w:spacing w:after="40" w:before="40"/>
            </w:pPr>
            <w:r>
              <w:rPr>
                <w:rFonts w:ascii="Arial" w:cs="Arial" w:eastAsia="Arial" w:hAnsi="Arial"/>
                <w:color w:val="000000"/>
                <w:sz w:val="20"/>
                <w:szCs w:val="20"/>
              </w:rPr>
              <w:t xml:space="preserve">Passing Layer 1 does not predict passing Layer 2. They measure different things. Layer 1 detects SQL result-set errors automatically. Layer 2 detects SQL logic errors and result-set completeness issues that require domain knowledge to identify. A space can score ≥90% on benchmarks and still have SMEs identify result sets that are missing rows invisible in aggregate. The three layers are sequential gates, not components of a single composite score. Passing all per-layer thresholds is required for deployment authorization.</w:t>
            </w:r>
          </w:p>
        </w:tc>
      </w:tr>
    </w:tbl>
    <w:p>
      <w:pPr>
        <w:spacing w:after="80" w:before="0"/>
      </w:pPr>
    </w:p>
    <w:p>
      <w:pPr>
        <w:spacing w:after="60" w:before="100"/>
        <w:jc w:val="left"/>
      </w:pPr>
      <w:r>
        <w:rPr>
          <w:rFonts w:ascii="Arial" w:cs="Arial" w:eastAsia="Arial" w:hAnsi="Arial"/>
          <w:b w:val="false"/>
          <w:bCs w:val="false"/>
          <w:i w:val="false"/>
          <w:iCs w:val="false"/>
          <w:color w:val="000000"/>
          <w:sz w:val="24"/>
          <w:szCs w:val="24"/>
        </w:rPr>
        <w:t xml:space="preserve">The framework applies a single gate mechanism across all three layers: threshold compliance. Each dimension is evaluated independently against its minimum threshold for the assigned risk tier. There is no composite score.</w:t>
      </w:r>
    </w:p>
    <w:p>
      <w:pPr>
        <w:spacing w:after="60" w:before="60"/>
        <w:jc w:val="left"/>
      </w:pPr>
      <w:r>
        <w:rPr>
          <w:rFonts w:ascii="Arial" w:cs="Arial" w:eastAsia="Arial" w:hAnsi="Arial"/>
          <w:b/>
          <w:bCs/>
          <w:i w:val="false"/>
          <w:iCs w:val="false"/>
          <w:color w:val="000000"/>
          <w:sz w:val="24"/>
          <w:szCs w:val="24"/>
        </w:rPr>
        <w:t xml:space="preserve">Threshold compliance </w:t>
      </w:r>
      <w:r>
        <w:rPr>
          <w:rFonts w:ascii="Arial" w:cs="Arial" w:eastAsia="Arial" w:hAnsi="Arial"/>
          <w:b w:val="false"/>
          <w:bCs w:val="false"/>
          <w:i w:val="false"/>
          <w:iCs w:val="false"/>
          <w:color w:val="000000"/>
          <w:sz w:val="24"/>
          <w:szCs w:val="24"/>
        </w:rPr>
        <w:t xml:space="preserve">is the gate mechanism applied in all three layers. A space must clear the minimum threshold for every scored dimension at its risk tier (see Appendix A for thresholds). Thresholds are set by risk tier because the consequence of a SQL error scales with the sensitivity of the content. A space that fails on any single dimension — such as SQL Correctness or Policy and Compliance — is disqualified regardless of its performance on all other dimensions. No other dimension result offsets a failure.</w:t>
      </w:r>
    </w:p>
    <w:p>
      <w:pPr>
        <w:spacing w:after="60" w:before="60"/>
        <w:jc w:val="left"/>
      </w:pPr>
      <w:r>
        <w:rPr>
          <w:rFonts w:ascii="Arial" w:cs="Arial" w:eastAsia="Arial" w:hAnsi="Arial"/>
          <w:b/>
          <w:bCs/>
          <w:i w:val="false"/>
          <w:iCs w:val="false"/>
          <w:color w:val="000000"/>
          <w:sz w:val="24"/>
          <w:szCs w:val="24"/>
        </w:rPr>
        <w:t xml:space="preserve">Dimension priority </w:t>
      </w:r>
      <w:r>
        <w:rPr>
          <w:rFonts w:ascii="Arial" w:cs="Arial" w:eastAsia="Arial" w:hAnsi="Arial"/>
          <w:b w:val="false"/>
          <w:bCs w:val="false"/>
          <w:i w:val="false"/>
          <w:iCs w:val="false"/>
          <w:color w:val="000000"/>
          <w:sz w:val="24"/>
          <w:szCs w:val="24"/>
        </w:rPr>
        <w:t xml:space="preserve">is stated explicitly in Appendix A to communicate the relative consequence of each failure mode. SQL Correctness is the primary Layer 2 dimension because incorrect SQL is the defining NL2SQL failure mode. Task Completion is the primary Layer 3 dimension because end-user utility is what Layer 3 is designed to confirm. These priorities guide root-cause analysis and remediation decisions when a space fails — they do not aggregate into a composite score and do not change the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A space that fails any threshold is disqualified from proceeding to the next layer. All dimensions must clear their individual thresholds independently. There is no composite score and no dimension result offsets another. Policy and Compliance is a separate pass/fail gate at Layers 2 and above — a single FAIL disqualifies the space regardless of all other dimension results.</w:t>
            </w:r>
          </w:p>
        </w:tc>
      </w:tr>
    </w:tbl>
    <w:p>
      <w:pPr>
        <w:spacing w:after="80" w:before="0"/>
      </w:pPr>
    </w:p>
    <w:p>
      <w:pPr>
        <w:pStyle w:val="Heading2"/>
        <w:spacing w:after="100" w:before="200"/>
      </w:pPr>
      <w:r>
        <w:rPr>
          <w:rFonts w:ascii="Arial" w:cs="Arial" w:eastAsia="Arial" w:hAnsi="Arial"/>
          <w:b/>
          <w:bCs/>
          <w:color w:val="2E74B5"/>
          <w:sz w:val="28"/>
          <w:szCs w:val="28"/>
        </w:rPr>
        <w:t xml:space="preserve">5.1  Evaluation Summary — Three-Layer Approach</w:t>
      </w:r>
    </w:p>
    <w:p>
      <w:pPr>
        <w:spacing w:after="60" w:before="60"/>
        <w:jc w:val="left"/>
      </w:pPr>
      <w:r>
        <w:rPr>
          <w:rFonts w:ascii="Arial" w:cs="Arial" w:eastAsia="Arial" w:hAnsi="Arial"/>
          <w:b w:val="false"/>
          <w:bCs w:val="false"/>
          <w:i w:val="false"/>
          <w:iCs w:val="false"/>
          <w:color w:val="000000"/>
          <w:sz w:val="24"/>
          <w:szCs w:val="24"/>
        </w:rPr>
        <w:t xml:space="preserve">The table below summarizes the complete step-by-step process for implementing the three-layer evaluation framework. The remainder of this section provides an overview of each evaluation layer and the threshold compliance approach used therein.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400"/>
        <w:gridCol w:w="15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2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1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Layer 1 — Genie Benchmarks</w:t>
            </w:r>
            <w:r>
              <w:rPr>
                <w:rFonts w:ascii="Arial" w:cs="Arial" w:eastAsia="Arial" w:hAnsi="Arial"/>
                <w:color w:val="000000"/>
                <w:sz w:val="20"/>
                <w:szCs w:val="20"/>
              </w:rPr>
              <w:t xml:space="preserve">
(Native UI)</w:t>
            </w:r>
            <w:r>
              <w:rPr>
                <w:rFonts w:ascii="Arial" w:cs="Arial" w:eastAsia="Arial" w:hAnsi="Arial"/>
                <w:i/>
                <w:iCs/>
                <w:color w:val="000000"/>
                <w:sz w:val="20"/>
                <w:szCs w:val="20"/>
              </w:rPr>
              <w:t xml:space="preserve">
Interface: Genie UI only — Benchmarks tab.</w:t>
            </w:r>
            <w:r>
              <w:rPr>
                <w:rFonts w:ascii="Arial" w:cs="Arial" w:eastAsia="Arial" w:hAnsi="Arial"/>
                <w:i/>
                <w:iCs/>
                <w:color w:val="000000"/>
                <w:sz w:val="20"/>
                <w:szCs w:val="20"/>
              </w:rPr>
              <w:t xml:space="preserve">
Note: This evaluation standard requires SQL answers for ALL questions.</w:t>
            </w:r>
          </w:p>
        </w:tc>
        <w:tc>
          <w:tcPr>
            <w:tcW w:type="dxa" w:w="2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Build benchmark question set (30/40/50 questions by risk tier). Enter SQL answers for ALL questions — no exceptions. Include 2–4 phrasings per question. Include boundary and edge case questions (min 20% of set). Run all benchmarks from the Benchmarks tab. Remediate any Manual Review Needed results. Compare pass rate against tier threshold. Document all Bad results with root cause.</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Per-question rating: Good or Bad. Pass rate = Good ÷ total questions. Eliminated spaces documented with failure rationale.</w:t>
            </w:r>
          </w:p>
        </w:tc>
        <w:tc>
          <w:tcPr>
            <w:tcW w:type="dxa" w:w="1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Developer (project lead) only. NOT business users. NOT SMEs.</w:t>
            </w:r>
          </w:p>
        </w:tc>
        <w:tc>
          <w:tcPr>
            <w:tcW w:type="dxa" w:w="1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GO/NO-GO GATE 1</w:t>
            </w:r>
            <w:r>
              <w:rPr>
                <w:rFonts w:ascii="Arial" w:cs="Arial" w:eastAsia="Arial" w:hAnsi="Arial"/>
                <w:color w:val="000000"/>
                <w:sz w:val="20"/>
                <w:szCs w:val="20"/>
              </w:rPr>
              <w:t xml:space="preserve">
Low ≥75% | Med ≥85% | High ≥90%. 100% of questions must have SQL answers. Any Manual Review Needed must be remediated. Failure = do not proceed to Layer 2.</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Layer 2 — SME Structured Review</w:t>
            </w:r>
            <w:r>
              <w:rPr>
                <w:rFonts w:ascii="Arial" w:cs="Arial" w:eastAsia="Arial" w:hAnsi="Arial"/>
                <w:color w:val="000000"/>
                <w:sz w:val="20"/>
                <w:szCs w:val="20"/>
              </w:rPr>
              <w:t xml:space="preserve">
(Offline Scoring Packet)</w:t>
            </w:r>
            <w:r>
              <w:rPr>
                <w:rFonts w:ascii="Arial" w:cs="Arial" w:eastAsia="Arial" w:hAnsi="Arial"/>
                <w:i/>
                <w:iCs/>
                <w:color w:val="000000"/>
                <w:sz w:val="20"/>
                <w:szCs w:val="20"/>
              </w:rPr>
              <w:t xml:space="preserve">
Interface: Separate offline scoring packet ONLY. Genie UI is NOT used for scoring.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Sample 20–30 question-and-result-set pairs from Layer 1 (stratified: include Good and Bad results in proportion). Provide offline scoring packet. Score each response independently on assigned dimensions. After scoring, return to Genie UI to upvote confirmed-correct responses and submit thumbs down + Ask for Review on responses scored 1 or 2.</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1–5 scores per dimension per response (offline form). Per-dimension pass/fail result against tier thresholds. Policy and Compliance pass/fail gate result. Written rationale for any score below 3.</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Domain SMEs. NOT scored via Genie UI. NOT general staff. NOT the project lead.</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GO/NO-GO GATE 2</w:t>
            </w:r>
            <w:r>
              <w:rPr>
                <w:rFonts w:ascii="Arial" w:cs="Arial" w:eastAsia="Arial" w:hAnsi="Arial"/>
                <w:color w:val="000000"/>
                <w:sz w:val="20"/>
                <w:szCs w:val="20"/>
              </w:rPr>
              <w:t xml:space="preserve">
All per-dimension thresholds cleared independently. Zero Policy/Compliance FAILs at Medium/High. Failure on any single dimension = do not proceed to Layer 3.</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Layer 3 — Business User Pilot</w:t>
            </w:r>
            <w:r>
              <w:rPr>
                <w:rFonts w:ascii="Arial" w:cs="Arial" w:eastAsia="Arial" w:hAnsi="Arial"/>
                <w:i/>
                <w:iCs/>
                <w:color w:val="000000"/>
                <w:sz w:val="20"/>
                <w:szCs w:val="20"/>
              </w:rPr>
              <w:t xml:space="preserve">
Interface: Genie UI (primary experience) + per-interaction rating form (primary scoring evidence).</w:t>
            </w:r>
          </w:p>
        </w:tc>
        <w:tc>
          <w:tcPr>
            <w:tcW w:type="dxa" w:w="2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Complete structured task list (15–20 questions from Layer 1 benchmark set) in the Genie UI before any free exploration. Complete per-interaction rating form immediately after each response. Rate in Genie UI (thumbs up/down) as supplementary signal. Optional free exploration (10–15 min) to surface unanticipated questions — any errors flagged and added to benchmark set.</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Per-interaction rating forms (Task Completion, Result Usefulness, Clarity — all 1–5 scale). Per-dimension pass/fail result against tier thresholds. Any new error questions flagged for benchmark set.</w:t>
            </w:r>
          </w:p>
        </w:tc>
        <w:tc>
          <w:tcPr>
            <w:tcW w:type="dxa" w:w="1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Business user testers, domain-matched. NOT developer (project lead).</w:t>
            </w:r>
          </w:p>
        </w:tc>
        <w:tc>
          <w:tcPr>
            <w:tcW w:type="dxa" w:w="1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VALIDATION GATE</w:t>
            </w:r>
            <w:r>
              <w:rPr>
                <w:rFonts w:ascii="Arial" w:cs="Arial" w:eastAsia="Arial" w:hAnsi="Arial"/>
                <w:color w:val="000000"/>
                <w:sz w:val="20"/>
                <w:szCs w:val="20"/>
              </w:rPr>
              <w:t xml:space="preserve">
Layer 3 thresholds met by risk tier. Tester task completion rate met. All responses rated 1 diagnosed. Layer 3 CANNOT reverse a Layer 2 disqualification.</w:t>
            </w:r>
          </w:p>
        </w:tc>
      </w:tr>
    </w:tbl>
    <w:p>
      <w:pPr>
        <w:spacing w:after="80" w:before="0"/>
      </w:pPr>
    </w:p>
    <w:p>
      <w:pPr>
        <w:pStyle w:val="Heading2"/>
        <w:spacing w:after="100" w:before="200"/>
      </w:pPr>
      <w:r>
        <w:rPr>
          <w:rFonts w:ascii="Arial" w:cs="Arial" w:eastAsia="Arial" w:hAnsi="Arial"/>
          <w:b/>
          <w:bCs/>
          <w:color w:val="2E74B5"/>
          <w:sz w:val="28"/>
          <w:szCs w:val="28"/>
        </w:rPr>
        <w:t xml:space="preserve">5.2  Layer 1 — Genie Benchmarks: How It Works and Evaluation Guidance</w:t>
      </w:r>
    </w:p>
    <w:p>
      <w:pPr>
        <w:spacing w:after="60" w:before="60"/>
        <w:jc w:val="left"/>
      </w:pPr>
      <w:r>
        <w:rPr>
          <w:rFonts w:ascii="Arial" w:cs="Arial" w:eastAsia="Arial" w:hAnsi="Arial"/>
          <w:b w:val="false"/>
          <w:bCs w:val="false"/>
          <w:i w:val="false"/>
          <w:iCs w:val="false"/>
          <w:color w:val="000000"/>
          <w:sz w:val="24"/>
          <w:szCs w:val="24"/>
        </w:rPr>
        <w:t xml:space="preserve">This section explains how Genie’s native Benchmarks feature works and the methodology behind each pass-rate threshold value.</w:t>
      </w:r>
    </w:p>
    <w:p>
      <w:pPr>
        <w:spacing w:after="40" w:before="80"/>
        <w:jc w:val="left"/>
      </w:pPr>
      <w:r>
        <w:rPr>
          <w:rFonts w:ascii="Arial" w:cs="Arial" w:eastAsia="Arial" w:hAnsi="Arial"/>
          <w:b/>
          <w:bCs/>
          <w:i w:val="false"/>
          <w:iCs w:val="false"/>
          <w:color w:val="000000"/>
          <w:sz w:val="24"/>
          <w:szCs w:val="24"/>
        </w:rPr>
        <w:t xml:space="preserve">How Genie Benchmarks Work</w:t>
      </w:r>
    </w:p>
    <w:p>
      <w:pPr>
        <w:spacing w:after="60" w:before="60"/>
        <w:jc w:val="left"/>
      </w:pPr>
      <w:r>
        <w:rPr>
          <w:rFonts w:ascii="Arial" w:cs="Arial" w:eastAsia="Arial" w:hAnsi="Arial"/>
          <w:b w:val="false"/>
          <w:bCs w:val="false"/>
          <w:i w:val="false"/>
          <w:iCs w:val="false"/>
          <w:color w:val="000000"/>
          <w:sz w:val="24"/>
          <w:szCs w:val="24"/>
        </w:rPr>
        <w:t xml:space="preserve">Genie’s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but instead of a binary YES/NO per quality dimension, it produces a binary Good/Bad per question based on result-set equivalence.</w:t>
      </w:r>
    </w:p>
    <w:p>
      <w:pPr>
        <w:spacing w:after="60" w:before="60"/>
        <w:jc w:val="left"/>
      </w:pPr>
      <w:r>
        <w:rPr>
          <w:rFonts w:ascii="Arial" w:cs="Arial" w:eastAsia="Arial" w:hAnsi="Arial"/>
          <w:b w:val="false"/>
          <w:bCs w:val="false"/>
          <w:i w:val="false"/>
          <w:iCs w:val="false"/>
          <w:color w:val="000000"/>
          <w:sz w:val="24"/>
          <w:szCs w:val="24"/>
        </w:rPr>
        <w:t xml:space="preserve">Because every question must have a SQL answer, every question is auto-scored without any developer judgment in the loop. This makes Layer 1 entirely objective and reproducible — critical properties for audit evidence. Manual Review Needed should not appear as a standard result. If it does, it indicates either a poorly written SQL answer or an automated comparison edge case requiring remediation before Layer 1 results are treated as valid evidence.</w:t>
      </w:r>
    </w:p>
    <w:p>
      <w:pPr>
        <w:spacing w:after="40" w:before="80"/>
        <w:jc w:val="left"/>
      </w:pPr>
      <w:r>
        <w:rPr>
          <w:rFonts w:ascii="Arial" w:cs="Arial" w:eastAsia="Arial" w:hAnsi="Arial"/>
          <w:b/>
          <w:bCs/>
          <w:i w:val="false"/>
          <w:iCs w:val="false"/>
          <w:color w:val="000000"/>
          <w:sz w:val="24"/>
          <w:szCs w:val="24"/>
        </w:rPr>
        <w:t xml:space="preserve">Building the Benchmark Question Set</w:t>
      </w:r>
    </w:p>
    <w:p>
      <w:pPr>
        <w:spacing w:after="60" w:before="60"/>
        <w:jc w:val="left"/>
      </w:pPr>
      <w:r>
        <w:rPr>
          <w:rFonts w:ascii="Arial" w:cs="Arial" w:eastAsia="Arial" w:hAnsi="Arial"/>
          <w:b w:val="false"/>
          <w:bCs w:val="false"/>
          <w:i w:val="false"/>
          <w:iCs w:val="false"/>
          <w:color w:val="000000"/>
          <w:sz w:val="24"/>
          <w:szCs w:val="24"/>
        </w:rPr>
        <w:t xml:space="preserve">Databricks best practices recommend starting with a focused, well-curated question set sourced from real user needs (see Before you Build – Understanding Your Users’ Genie Space Needs and the Databricks Genie Space Best Practice Guide). The benchmark set should represent the domain the space is designed to answer, not general questions across domains. Key requirements:</w:t>
      </w:r>
    </w:p>
    <w:p>
      <w:pPr>
        <w:pStyle w:val="ListParagraph"/>
        <w:numPr>
          <w:ilvl w:val="0"/>
          <w:numId w:val="2"/>
        </w:numPr>
        <w:spacing w:after="40" w:before="40"/>
      </w:pPr>
      <w:r>
        <w:rPr>
          <w:rFonts w:ascii="Arial" w:cs="Arial" w:eastAsia="Arial" w:hAnsi="Arial"/>
          <w:sz w:val="24"/>
          <w:szCs w:val="24"/>
        </w:rPr>
        <w:t xml:space="preserve">Minimum set size: 30 questions for Low risk; 40 for Medium; 50 for High.</w:t>
      </w:r>
    </w:p>
    <w:p>
      <w:pPr>
        <w:pStyle w:val="ListParagraph"/>
        <w:numPr>
          <w:ilvl w:val="0"/>
          <w:numId w:val="2"/>
        </w:numPr>
        <w:spacing w:after="40" w:before="40"/>
      </w:pPr>
      <w:r>
        <w:rPr>
          <w:rFonts w:ascii="Arial" w:cs="Arial" w:eastAsia="Arial" w:hAnsi="Arial"/>
          <w:sz w:val="24"/>
          <w:szCs w:val="24"/>
        </w:rPr>
        <w:t xml:space="preserve">Source from the space charter: all 5–15 questions collected during charter development must be represented, with variations and edge cases added.</w:t>
      </w:r>
    </w:p>
    <w:p>
      <w:pPr>
        <w:pStyle w:val="ListParagraph"/>
        <w:numPr>
          <w:ilvl w:val="0"/>
          <w:numId w:val="2"/>
        </w:numPr>
        <w:spacing w:after="40" w:before="40"/>
      </w:pPr>
      <w:r>
        <w:rPr>
          <w:rFonts w:ascii="Arial" w:cs="Arial" w:eastAsia="Arial" w:hAnsi="Arial"/>
          <w:sz w:val="24"/>
          <w:szCs w:val="24"/>
        </w:rPr>
        <w:t xml:space="preserve">Include 2–4 phrasings per question: Databricks recommends multiple phrasings using the same SQL answer. A space answering only one phrasing is not robust.</w:t>
      </w:r>
    </w:p>
    <w:p>
      <w:pPr>
        <w:pStyle w:val="ListParagraph"/>
        <w:numPr>
          <w:ilvl w:val="0"/>
          <w:numId w:val="2"/>
        </w:numPr>
        <w:spacing w:after="40" w:before="40"/>
      </w:pPr>
      <w:r>
        <w:rPr>
          <w:rFonts w:ascii="Arial" w:cs="Arial" w:eastAsia="Arial" w:hAnsi="Arial"/>
          <w:sz w:val="24"/>
          <w:szCs w:val="24"/>
        </w:rPr>
        <w:t xml:space="preserve">Every question must have a SQL answer — no exceptions: questions without a SQL answer return Manual Review Needed, which is not independent evidence. If a question cannot be reduced to a deterministic SQL answer, reframe it, break it into sub-questions, or exclude it and note it in the space charter.</w:t>
      </w:r>
    </w:p>
    <w:p>
      <w:pPr>
        <w:pStyle w:val="ListParagraph"/>
        <w:numPr>
          <w:ilvl w:val="0"/>
          <w:numId w:val="2"/>
        </w:numPr>
        <w:spacing w:after="40" w:before="40"/>
      </w:pPr>
      <w:r>
        <w:rPr>
          <w:rFonts w:ascii="Arial" w:cs="Arial" w:eastAsia="Arial" w:hAnsi="Arial"/>
          <w:sz w:val="24"/>
          <w:szCs w:val="24"/>
        </w:rPr>
        <w:t xml:space="preserve">Include boundary and edge case questions: at least 20% of questions should test boundaries — questions Genie should decline or clarify, date boundary questions, and out-of-scope questions.</w:t>
      </w:r>
    </w:p>
    <w:p>
      <w:pPr>
        <w:pStyle w:val="ListParagraph"/>
        <w:numPr>
          <w:ilvl w:val="0"/>
          <w:numId w:val="2"/>
        </w:numPr>
        <w:spacing w:after="40" w:before="40"/>
      </w:pPr>
      <w:r>
        <w:rPr>
          <w:rFonts w:ascii="Arial" w:cs="Arial" w:eastAsia="Arial" w:hAnsi="Arial"/>
          <w:sz w:val="24"/>
          <w:szCs w:val="24"/>
        </w:rPr>
        <w:t xml:space="preserve">Stratify the sample for Layer 2: the Layer 2 SME scoring packet is sampled from Layer 1 results. The sample must include both Good and Bad questions in proportion.</w:t>
      </w:r>
    </w:p>
    <w:p>
      <w:pPr>
        <w:pStyle w:val="ListParagraph"/>
        <w:numPr>
          <w:ilvl w:val="0"/>
          <w:numId w:val="2"/>
        </w:numPr>
        <w:spacing w:after="40" w:before="40"/>
      </w:pPr>
      <w:r>
        <w:rPr>
          <w:rFonts w:ascii="Arial" w:cs="Arial" w:eastAsia="Arial" w:hAnsi="Arial"/>
          <w:sz w:val="24"/>
          <w:szCs w:val="24"/>
        </w:rPr>
        <w:t xml:space="preserve">Failed production questions must be added to benchmarks: any question that produces a known error in pilot or production must become a benchmark. The fix must be proven by the benchmark passing before the issue is closed.</w:t>
      </w:r>
    </w:p>
    <w:p>
      <w:pPr>
        <w:spacing w:after="80" w:before="0"/>
      </w:pPr>
    </w:p>
    <w:p>
      <w:pPr>
        <w:spacing w:after="40" w:before="80"/>
        <w:jc w:val="left"/>
      </w:pPr>
      <w:r>
        <w:rPr>
          <w:rFonts w:ascii="Arial" w:cs="Arial" w:eastAsia="Arial" w:hAnsi="Arial"/>
          <w:b/>
          <w:bCs/>
          <w:i w:val="false"/>
          <w:iCs w:val="false"/>
          <w:color w:val="000000"/>
          <w:sz w:val="24"/>
          <w:szCs w:val="24"/>
        </w:rPr>
        <w:t xml:space="preserve">Layer 1 Pass-Rate Thresholds</w:t>
      </w:r>
    </w:p>
    <w:p>
      <w:pPr>
        <w:spacing w:after="60" w:before="60"/>
        <w:jc w:val="left"/>
      </w:pPr>
      <w:r>
        <w:rPr>
          <w:rFonts w:ascii="Arial" w:cs="Arial" w:eastAsia="Arial" w:hAnsi="Arial"/>
          <w:b w:val="false"/>
          <w:bCs w:val="false"/>
          <w:i w:val="false"/>
          <w:iCs w:val="false"/>
          <w:color w:val="000000"/>
          <w:sz w:val="24"/>
          <w:szCs w:val="24"/>
        </w:rPr>
        <w:t xml:space="preserve">The reported threshold minimums (Appendix A) determine whether a space advances from Layer 1 to Layer 2. Each threshold is the minimum percentage of questions that must score Good. Thresholds are set above open-domain NL2SQL baselines (Spider ~88%, BIRD ~67%) to reflect the curation advantage a well-configured Genie space has over academic benchmarks — 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pPr>
        <w:spacing w:after="60" w:before="60"/>
        <w:jc w:val="left"/>
      </w:pPr>
      <w:r>
        <w:rPr>
          <w:rFonts w:ascii="Arial" w:cs="Arial" w:eastAsia="Arial" w:hAnsi="Arial"/>
          <w:b w:val="false"/>
          <w:bCs w:val="false"/>
          <w:i w:val="false"/>
          <w:iCs w:val="false"/>
          <w:color w:val="000000"/>
          <w:sz w:val="24"/>
          <w:szCs w:val="24"/>
        </w:rPr>
        <w:t xml:space="preserve">The threshold logic also accounts for the lab-to-production gap documented in the CLEAR Framework (Mehta, 2025): a space scoring 85% on benchmarks may perform at 54–85% on unconstrained production questions. This is why staged rollout is mandatory and why production monitoring thresholds are set below evaluation pass marks.</w:t>
      </w:r>
    </w:p>
    <w:p>
      <w:pPr>
        <w:spacing w:after="80" w:before="0"/>
      </w:pPr>
    </w:p>
    <w:p>
      <w:pPr>
        <w:pStyle w:val="Heading2"/>
        <w:spacing w:after="100" w:before="200"/>
      </w:pPr>
      <w:r>
        <w:rPr>
          <w:rFonts w:ascii="Arial" w:cs="Arial" w:eastAsia="Arial" w:hAnsi="Arial"/>
          <w:b/>
          <w:bCs/>
          <w:color w:val="2E74B5"/>
          <w:sz w:val="28"/>
          <w:szCs w:val="28"/>
        </w:rPr>
        <w:t xml:space="preserve">5.3  Layer 2 — Expert Structured Review: How It Works and Evaluation Guidance</w:t>
      </w:r>
    </w:p>
    <w:p>
      <w:pPr>
        <w:spacing w:after="60" w:before="60"/>
        <w:jc w:val="left"/>
      </w:pPr>
      <w:r>
        <w:rPr>
          <w:rFonts w:ascii="Arial" w:cs="Arial" w:eastAsia="Arial" w:hAnsi="Arial"/>
          <w:b w:val="false"/>
          <w:bCs w:val="false"/>
          <w:i w:val="false"/>
          <w:iCs w:val="false"/>
          <w:color w:val="000000"/>
          <w:sz w:val="24"/>
          <w:szCs w:val="24"/>
        </w:rPr>
        <w:t xml:space="preserve">This section explains how SME structured review works and the methodology behind each per-dimension threshold.</w:t>
      </w:r>
    </w:p>
    <w:p>
      <w:pPr>
        <w:spacing w:after="40" w:before="80"/>
        <w:jc w:val="left"/>
      </w:pPr>
      <w:r>
        <w:rPr>
          <w:rFonts w:ascii="Arial" w:cs="Arial" w:eastAsia="Arial" w:hAnsi="Arial"/>
          <w:b/>
          <w:bCs/>
          <w:i w:val="false"/>
          <w:iCs w:val="false"/>
          <w:color w:val="000000"/>
          <w:sz w:val="24"/>
          <w:szCs w:val="24"/>
        </w:rPr>
        <w:t xml:space="preserve">How Expert Structured Review Works</w:t>
      </w:r>
    </w:p>
    <w:p>
      <w:pPr>
        <w:spacing w:after="60" w:before="60"/>
        <w:jc w:val="left"/>
      </w:pPr>
      <w:r>
        <w:rPr>
          <w:rFonts w:ascii="Arial" w:cs="Arial" w:eastAsia="Arial" w:hAnsi="Arial"/>
          <w:b w:val="false"/>
          <w:bCs w:val="false"/>
          <w:i w:val="false"/>
          <w:iCs w:val="false"/>
          <w:color w:val="000000"/>
          <w:sz w:val="24"/>
          <w:szCs w:val="24"/>
        </w:rPr>
        <w:t xml:space="preserve">Layer 2 takes spaces that clear Layer 1 and subjects them to structured human review by subject-matter experts. A sample of 20–30 question-and-result-set pairs from the Layer 1 benchmark set is drawn, stripped of any identifiers, and provided to reviewers via an offline scoring packet. Every reviewer scores independently — they do not score together in the Genie UI, because the Genie UI Ask for Review tool is a production workflow for live users, not a pre-deployment SME scoring mechanism.</w:t>
      </w:r>
    </w:p>
    <w:p>
      <w:pPr>
        <w:spacing w:after="60" w:before="60"/>
        <w:jc w:val="left"/>
      </w:pPr>
      <w:r>
        <w:rPr>
          <w:rFonts w:ascii="Arial" w:cs="Arial" w:eastAsia="Arial" w:hAnsi="Arial"/>
          <w:b w:val="false"/>
          <w:bCs w:val="false"/>
          <w:i w:val="false"/>
          <w:iCs w:val="false"/>
          <w:color w:val="000000"/>
          <w:sz w:val="24"/>
          <w:szCs w:val="24"/>
        </w:rPr>
        <w:t xml:space="preserve">Unlike Layer 1, which produces binary Good/Bad pass rates, Layer 2 produces scores on a 1–5 behavioral scale (see Appendix A). Each score point is anchored to a specific observable behavior so that different reviewers apply consistent standards. Reviewers score each response immediately after reading it — not in batch at the end — to prevent within-session anchoring.</w:t>
      </w:r>
    </w:p>
    <w:p>
      <w:pPr>
        <w:spacing w:after="60" w:before="60"/>
        <w:jc w:val="left"/>
      </w:pPr>
      <w:r>
        <w:rPr>
          <w:rFonts w:ascii="Arial" w:cs="Arial" w:eastAsia="Arial" w:hAnsi="Arial"/>
          <w:b w:val="false"/>
          <w:bCs w:val="false"/>
          <w:i w:val="false"/>
          <w:iCs w:val="false"/>
          <w:color w:val="000000"/>
          <w:sz w:val="24"/>
          <w:szCs w:val="24"/>
        </w:rPr>
        <w:t xml:space="preserve">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 they can detect that something seems wrong, but they cannot reliably score SQL logic quality.</w:t>
      </w:r>
    </w:p>
    <w:p>
      <w:pPr>
        <w:spacing w:after="60" w:before="60"/>
        <w:jc w:val="left"/>
      </w:pPr>
      <w:r>
        <w:rPr>
          <w:rFonts w:ascii="Arial" w:cs="Arial" w:eastAsia="Arial" w:hAnsi="Arial"/>
          <w:b w:val="false"/>
          <w:bCs w:val="false"/>
          <w:i w:val="false"/>
          <w:iCs w:val="false"/>
          <w:color w:val="000000"/>
          <w:sz w:val="24"/>
          <w:szCs w:val="24"/>
        </w:rPr>
        <w:t xml:space="preserve">Policy and Compliance is assessed at Layer 2 by a compliance or legal reviewer using a pass/fail gate. A single FAIL at Medium or High risk tier disqualifies the space regardless of all other scores.</w:t>
      </w:r>
    </w:p>
    <w:p>
      <w:pPr>
        <w:spacing w:after="40" w:before="80"/>
        <w:jc w:val="left"/>
      </w:pPr>
      <w:r>
        <w:rPr>
          <w:rFonts w:ascii="Arial" w:cs="Arial" w:eastAsia="Arial" w:hAnsi="Arial"/>
          <w:b/>
          <w:bCs/>
          <w:i w:val="false"/>
          <w:iCs w:val="false"/>
          <w:color w:val="000000"/>
          <w:sz w:val="24"/>
          <w:szCs w:val="24"/>
        </w:rPr>
        <w:t xml:space="preserve">Layer 2 Pass-Rate Thresholds</w:t>
      </w:r>
    </w:p>
    <w:p>
      <w:pPr>
        <w:spacing w:after="60" w:before="60"/>
        <w:jc w:val="left"/>
      </w:pPr>
      <w:r>
        <w:rPr>
          <w:rFonts w:ascii="Arial" w:cs="Arial" w:eastAsia="Arial" w:hAnsi="Arial"/>
          <w:b w:val="false"/>
          <w:bCs w:val="false"/>
          <w:i w:val="false"/>
          <w:iCs w:val="false"/>
          <w:color w:val="000000"/>
          <w:sz w:val="24"/>
          <w:szCs w:val="24"/>
        </w:rPr>
        <w:t xml:space="preserve">These thresholds determine whether a space advances from Layer 2 to Layer 3 and are stated as the percentage of scored responses that must reach the minimum score on the 1–5 scale. They are derived from internal standards because no published benchmarks exist for SME SQL correctness scoring rates — the NL2SQL field measures execution accuracy on automated benchmarks, not human expert rubric scores. Full rationale is given in Appendix A.</w:t>
      </w:r>
    </w:p>
    <w:p>
      <w:pPr>
        <w:spacing w:after="40" w:before="80"/>
        <w:jc w:val="left"/>
      </w:pPr>
      <w:r>
        <w:rPr>
          <w:rFonts w:ascii="Arial" w:cs="Arial" w:eastAsia="Arial" w:hAnsi="Arial"/>
          <w:b/>
          <w:bCs/>
          <w:i w:val="false"/>
          <w:iCs w:val="false"/>
          <w:color w:val="000000"/>
          <w:sz w:val="24"/>
          <w:szCs w:val="24"/>
        </w:rPr>
        <w:t xml:space="preserve">Layer 2 Weighted Scorecard</w:t>
      </w:r>
    </w:p>
    <w:p>
      <w:pPr>
        <w:spacing w:after="60" w:before="60"/>
        <w:jc w:val="left"/>
      </w:pPr>
      <w:r>
        <w:rPr>
          <w:rFonts w:ascii="Arial" w:cs="Arial" w:eastAsia="Arial" w:hAnsi="Arial"/>
          <w:b w:val="false"/>
          <w:bCs w:val="false"/>
          <w:i w:val="false"/>
          <w:iCs w:val="false"/>
          <w:color w:val="000000"/>
          <w:sz w:val="24"/>
          <w:szCs w:val="24"/>
        </w:rPr>
        <w:t xml:space="preserve">Dimension priority in Layer 2: SQL Correctness is the primary dimension because incorrect SQL is the defining NL2SQL failure mode. Result-Set Completeness is secondary because silently missing rows are the next most consequential failure — a result set that appears correct in aggregate but omits key rows can directly mislead a decision. Data Value Accuracy is tertiary. Policy and Compliance is a separate pass/fail gate — it is not scored on the 1–5 scale and a single FAIL disqualifies regardless of all other results. These priorities guide where to focus remediation when a space fails; they do not combine into a single score. Full dimension thresholds and behavioral anchors are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A space that clears all Layer 2 dimension thresholds proceeds to Layer 3 for user validation. If a space fails any Layer 2 threshold, it is disqualified — fix root cause at the data model level (not with text instructions alone), re-run benchmarks, and repeat Layer 2 review on affected questions.</w:t>
            </w:r>
          </w:p>
        </w:tc>
      </w:tr>
    </w:tbl>
    <w:p>
      <w:pPr>
        <w:spacing w:after="80" w:before="0"/>
      </w:pPr>
    </w:p>
    <w:p>
      <w:pPr>
        <w:pStyle w:val="Heading2"/>
        <w:spacing w:after="100" w:before="200"/>
      </w:pPr>
      <w:r>
        <w:rPr>
          <w:rFonts w:ascii="Arial" w:cs="Arial" w:eastAsia="Arial" w:hAnsi="Arial"/>
          <w:b/>
          <w:bCs/>
          <w:color w:val="2E74B5"/>
          <w:sz w:val="28"/>
          <w:szCs w:val="28"/>
        </w:rPr>
        <w:t xml:space="preserve">5.4  Layer 3 — Business User Pilot: How It Works and Evaluation Guidance</w:t>
      </w:r>
    </w:p>
    <w:p>
      <w:pPr>
        <w:spacing w:after="60" w:before="60"/>
        <w:jc w:val="left"/>
      </w:pPr>
      <w:r>
        <w:rPr>
          <w:rFonts w:ascii="Arial" w:cs="Arial" w:eastAsia="Arial" w:hAnsi="Arial"/>
          <w:b w:val="false"/>
          <w:bCs w:val="false"/>
          <w:i w:val="false"/>
          <w:iCs w:val="false"/>
          <w:color w:val="000000"/>
          <w:sz w:val="24"/>
          <w:szCs w:val="24"/>
        </w:rPr>
        <w:t xml:space="preserve">This section explains how the business user pilot works and the methodology behind each per-dimension threshold.</w:t>
      </w:r>
    </w:p>
    <w:p>
      <w:pPr>
        <w:spacing w:after="40" w:before="80"/>
        <w:jc w:val="left"/>
      </w:pPr>
      <w:r>
        <w:rPr>
          <w:rFonts w:ascii="Arial" w:cs="Arial" w:eastAsia="Arial" w:hAnsi="Arial"/>
          <w:b/>
          <w:bCs/>
          <w:i w:val="false"/>
          <w:iCs w:val="false"/>
          <w:color w:val="000000"/>
          <w:sz w:val="24"/>
          <w:szCs w:val="24"/>
        </w:rPr>
        <w:t xml:space="preserve">How the Business User Pilot Works</w:t>
      </w:r>
    </w:p>
    <w:p>
      <w:pPr>
        <w:spacing w:after="60" w:before="60"/>
        <w:jc w:val="left"/>
      </w:pPr>
      <w:r>
        <w:rPr>
          <w:rFonts w:ascii="Arial" w:cs="Arial" w:eastAsia="Arial" w:hAnsi="Arial"/>
          <w:b w:val="false"/>
          <w:bCs w:val="false"/>
          <w:i w:val="false"/>
          <w:iCs w:val="false"/>
          <w:color w:val="000000"/>
          <w:sz w:val="24"/>
          <w:szCs w:val="24"/>
        </w:rPr>
        <w:t xml:space="preserve">Layer 3 takes spaces that clear Layers 1 and 2 and validates them against end-user experience. Every tester works through a structured task list sourced from the Layer 1 benchmark question set and the space charter — this ensures testers work within the space’s defined domain and that tester responses can be cross-referenced against the known correct SQL answers from Layer 1. This is a within-domain pilot, not open-ended exploration.</w:t>
      </w:r>
    </w:p>
    <w:p>
      <w:pPr>
        <w:spacing w:after="60" w:before="60"/>
        <w:jc w:val="left"/>
      </w:pPr>
      <w:r>
        <w:rPr>
          <w:rFonts w:ascii="Arial" w:cs="Arial" w:eastAsia="Arial" w:hAnsi="Arial"/>
          <w:b w:val="false"/>
          <w:bCs w:val="false"/>
          <w:i w:val="false"/>
          <w:iCs w:val="false"/>
          <w:color w:val="000000"/>
          <w:sz w:val="24"/>
          <w:szCs w:val="24"/>
        </w:rPr>
        <w:t xml:space="preserve">Unlike Layers 1 and 2, which assess NL2SQL accuracy and SQL logic correctness, Layer 3 assesses end-user experience dimensions only: Task Completion, Result Usefulness, and Clarity and Interpretability. Testers are explicitly not asked to score SQL correctness, result-set completeness, or policy compliance — these require expertise that general business users do not have, and assigning them to non-expert testers produces false data that is undetectable in aggregate scoring.</w:t>
      </w:r>
    </w:p>
    <w:p>
      <w:pPr>
        <w:spacing w:after="60" w:before="60"/>
        <w:jc w:val="left"/>
      </w:pPr>
      <w:r>
        <w:rPr>
          <w:rFonts w:ascii="Arial" w:cs="Arial" w:eastAsia="Arial" w:hAnsi="Arial"/>
          <w:b w:val="false"/>
          <w:bCs w:val="false"/>
          <w:i w:val="false"/>
          <w:iCs w:val="false"/>
          <w:color w:val="000000"/>
          <w:sz w:val="24"/>
          <w:szCs w:val="24"/>
        </w:rPr>
        <w:t xml:space="preserve">Testers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Session order is fixed per tester but tester groups should be drawn from across relevant job functions to ensure domain coverage.</w:t>
      </w:r>
    </w:p>
    <w:p>
      <w:pPr>
        <w:spacing w:after="60" w:before="60"/>
        <w:jc w:val="left"/>
      </w:pPr>
      <w:r>
        <w:rPr>
          <w:rFonts w:ascii="Arial" w:cs="Arial" w:eastAsia="Arial" w:hAnsi="Arial"/>
          <w:b w:val="false"/>
          <w:bCs w:val="false"/>
          <w:i w:val="false"/>
          <w:iCs w:val="false"/>
          <w:color w:val="000000"/>
          <w:sz w:val="24"/>
          <w:szCs w:val="24"/>
        </w:rPr>
        <w:t xml:space="preserve">Layer 3 is a validation layer, not a re-adjudication one. It confirms whether end-user experience aligns with the previous evaluation layers’ determinations. It cannot reverse a Layer 2 disqualification. Research on NL2SQL usability (Ipeirotis &amp; Zheng, 2025) confirms that user trust and interaction quality must be assessed beyond automated accuracy — a technically correct result set that is incomprehensible to a non-technical user still fails the end user.</w:t>
      </w:r>
    </w:p>
    <w:p>
      <w:pPr>
        <w:spacing w:after="40" w:before="80"/>
        <w:jc w:val="left"/>
      </w:pPr>
      <w:r>
        <w:rPr>
          <w:rFonts w:ascii="Arial" w:cs="Arial" w:eastAsia="Arial" w:hAnsi="Arial"/>
          <w:b/>
          <w:bCs/>
          <w:i w:val="false"/>
          <w:iCs w:val="false"/>
          <w:color w:val="000000"/>
          <w:sz w:val="24"/>
          <w:szCs w:val="24"/>
        </w:rPr>
        <w:t xml:space="preserve">Layer 3 Pass-Rate Thresholds</w:t>
      </w:r>
    </w:p>
    <w:p>
      <w:pPr>
        <w:spacing w:after="60" w:before="60"/>
        <w:jc w:val="left"/>
      </w:pPr>
      <w:r>
        <w:rPr>
          <w:rFonts w:ascii="Arial" w:cs="Arial" w:eastAsia="Arial" w:hAnsi="Arial"/>
          <w:b w:val="false"/>
          <w:bCs w:val="false"/>
          <w:i w:val="false"/>
          <w:iCs w:val="false"/>
          <w:color w:val="000000"/>
          <w:sz w:val="24"/>
          <w:szCs w:val="24"/>
        </w:rPr>
        <w:t xml:space="preserve">These thresholds apply to the end-user experience dimensions. Each threshold is the percentage of tester interactions that must reach a minimum score on the 1–5 behavioral scale or the Yes/Partial/No task completion scale. All three dimensions must clear their thresholds independently. See Appendix A for full threshold details.</w:t>
      </w:r>
    </w:p>
    <w:p>
      <w:pPr>
        <w:spacing w:after="40" w:before="80"/>
        <w:jc w:val="left"/>
      </w:pPr>
      <w:r>
        <w:rPr>
          <w:rFonts w:ascii="Arial" w:cs="Arial" w:eastAsia="Arial" w:hAnsi="Arial"/>
          <w:b/>
          <w:bCs/>
          <w:i w:val="false"/>
          <w:iCs w:val="false"/>
          <w:color w:val="000000"/>
          <w:sz w:val="24"/>
          <w:szCs w:val="24"/>
        </w:rPr>
        <w:t xml:space="preserve">Layer 3 Weighted Scorecard</w:t>
      </w:r>
    </w:p>
    <w:p>
      <w:pPr>
        <w:spacing w:after="60" w:before="60"/>
        <w:jc w:val="left"/>
      </w:pPr>
      <w:r>
        <w:rPr>
          <w:rFonts w:ascii="Arial" w:cs="Arial" w:eastAsia="Arial" w:hAnsi="Arial"/>
          <w:b w:val="false"/>
          <w:bCs w:val="false"/>
          <w:i w:val="false"/>
          <w:iCs w:val="false"/>
          <w:color w:val="000000"/>
          <w:sz w:val="24"/>
          <w:szCs w:val="24"/>
        </w:rPr>
        <w:t xml:space="preserve">Dimension priority in Layer 3: Task Completion is the primary dimension because it directly measures whether Genie answered the user’s actual question — the core purpose of the pilot. Result Usefulness is secondary because a result the user would not act on still fails the end user regardless of technical correctness. Clarity and Interpretability is tertiary — it matters for adoption but on its own should not drive a deployment gate decision. These priorities guide remediation focus; they do not combine into a composite score.</w:t>
      </w:r>
    </w:p>
    <w:p>
      <w:pPr>
        <w:spacing w:after="60" w:before="60"/>
        <w:jc w:val="left"/>
      </w:pPr>
      <w:r>
        <w:rPr>
          <w:rFonts w:ascii="Arial" w:cs="Arial" w:eastAsia="Arial" w:hAnsi="Arial"/>
          <w:b w:val="false"/>
          <w:bCs w:val="false"/>
          <w:i w:val="false"/>
          <w:iCs w:val="false"/>
          <w:color w:val="000000"/>
          <w:sz w:val="24"/>
          <w:szCs w:val="24"/>
        </w:rPr>
        <w:t xml:space="preserve">Layer 3 threshold results are interpreted alongside Layer 2: if all dimensions pass, deployment proceeds with high confidence. If Layer 3 and Layer 2 point in different directions — for example, SMEs confirm SQL correctness but users score Task Completion below threshold — the discrepancy triggers an investigation before proceeding. Layer 3 cannot reverse a Layer 2 disqualification. Full dimension thresholds and behavioral anchors are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Participant requirements: minimum 5–8 testers for Low risk; ≥10 for Medium; ≥15 for High. Domain matching is required — testers’ assigned job duties must be in the domain the space covers. Developers cannot produce representative signal and must not participate as testers.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6  Phased Deployment Gates and Decision Rules</w:t>
            </w:r>
          </w:p>
          <w:p>
            <w:pPr>
              <w:spacing w:after="40" w:before="40"/>
            </w:pPr>
            <w:r>
              <w:rPr>
                <w:rFonts w:ascii="Arial" w:cs="Arial" w:eastAsia="Arial" w:hAnsi="Arial"/>
                <w:i/>
                <w:iCs/>
                <w:color w:val="000000"/>
                <w:sz w:val="20"/>
                <w:szCs w:val="20"/>
              </w:rPr>
              <w:t xml:space="preserve">Go/No-Go criteria, outcome scenarios, and staged rollout</w:t>
            </w:r>
          </w:p>
        </w:tc>
      </w:tr>
    </w:tbl>
    <w:p>
      <w:pPr>
        <w:spacing w:after="80" w:before="0"/>
      </w:pPr>
    </w:p>
    <w:p>
      <w:pPr>
        <w:pStyle w:val="Heading2"/>
        <w:spacing w:after="100" w:before="200"/>
      </w:pPr>
      <w:r>
        <w:rPr>
          <w:rFonts w:ascii="Arial" w:cs="Arial" w:eastAsia="Arial" w:hAnsi="Arial"/>
          <w:b/>
          <w:bCs/>
          <w:color w:val="2E74B5"/>
          <w:sz w:val="28"/>
          <w:szCs w:val="28"/>
        </w:rPr>
        <w:t xml:space="preserve">6.1  Decision Rules: What to Do in Each Outcome Scenario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Scenario</w:t>
            </w:r>
          </w:p>
        </w:tc>
        <w:tc>
          <w:tcPr>
            <w:tcW w:type="dxa" w:w="58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Decision</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three layers pass all thresholds</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Deploy with high confidence. Proceed to staged rollout. Document all three layer results in the evidence package.</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passes but Layer 2 SMEs identify SQL correctness or completeness failures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 not proceed to Layer 3. Fix root cause at the data model level — not with text instructions alone. Per Databricks best practices, SQL errors typically require gold view redesign, join relationship definitions, or example SQL additions. Re-run benchmarks and repeat Layer 2 review on affected questions.</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and 2 pass but Layer 3 testers score below threshold on Task Completion</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Check whether failing tasks are in the benchmark set and rated Good in Layer 1. If yes — improve example SQL queries and metadata, then re-run. If no — add failing tasks to benchmarks and fix root cause. Per Databricks best practices, task completion failures often indicate missing SQL expressions or unclear column descriptions.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testers rate poorly questions that Layers 1 and 2 confirmed as correct</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soft floor threshold fails at any layer</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Document the failure and root cause. Investigate and remediate before proceeding. Escalate to data science lead if root cause is unclear.</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hard disqualifier threshold fails at any layer</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Space is disqualified. Document all failures with root cause. Do not proceed to the next layer. Remediate and restart from the failed layer.</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and Compliance gate fails in Layer 2</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Hard disqualification regardless of all other scores. Involve legal and compliance teams in remediation before any re-evaluation.</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Production monitoring drops below threshold post-deployment</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Freeze rollout at current stage. Diagnose via Monitor tab and benchmark re-run. Fix root cause and confirm metrics are stable before resuming rollout.</w:t>
            </w:r>
          </w:p>
        </w:tc>
      </w:tr>
    </w:tbl>
    <w:p>
      <w:pPr>
        <w:spacing w:after="80" w:before="0"/>
      </w:pPr>
    </w:p>
    <w:p>
      <w:pPr>
        <w:pStyle w:val="Heading2"/>
        <w:spacing w:after="100" w:before="200"/>
      </w:pPr>
      <w:r>
        <w:rPr>
          <w:rFonts w:ascii="Arial" w:cs="Arial" w:eastAsia="Arial" w:hAnsi="Arial"/>
          <w:b/>
          <w:bCs/>
          <w:color w:val="2E74B5"/>
          <w:sz w:val="28"/>
          <w:szCs w:val="28"/>
        </w:rPr>
        <w:t xml:space="preserve">6.2  Staged Rollout Gates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Stage</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Deployment scope</w:t>
            </w:r>
          </w:p>
        </w:tc>
        <w:tc>
          <w:tcPr>
            <w:tcW w:type="dxa" w:w="4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Go/No-Go criteria before proceeding</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gate</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team only — no users</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Pass rate &gt;= tier threshold. 100% of questions have SQL answers. All Bad results diagnosed. Proceed to Layer 2.</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gate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SME reviewers only</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per-dimension thresholds cleared. No Policy/Compliance fails. Every dimension independently passes its tier threshold. Layer 2 evidence complete. Proceed to Layer 3.</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gate</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Pilot testers only (5–15 users by tier)</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Tester completion rate met. Layer 3 thresholds met. All 1-rated responses diagnosed. Error questions added to benchmark set. Proceed to 10% rollout.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 rollout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 of intended users (min 5)</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2 weeks. Monthly benchmark re-run &gt;= production threshold. No Policy/Compliance failures. Proceed to 25%.</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25% rollout</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25% of intended users</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2 weeks. Same criteria. Proceed to 50%.</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50% rollout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50% of intended users</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2 weeks. Same criteria. Proceed to 100%.</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Full deployment</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of intended users</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Production monitoring maintained. Monthly benchmark cadence confirmed. Audit log alert configured. Space charter updated.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7  Ongoing Monitoring After Deployment</w:t>
            </w:r>
          </w:p>
          <w:p>
            <w:pPr>
              <w:spacing w:after="40" w:before="40"/>
            </w:pPr>
            <w:r>
              <w:rPr>
                <w:rFonts w:ascii="Arial" w:cs="Arial" w:eastAsia="Arial" w:hAnsi="Arial"/>
                <w:i/>
                <w:iCs/>
                <w:color w:val="000000"/>
                <w:sz w:val="20"/>
                <w:szCs w:val="20"/>
              </w:rPr>
              <w:t xml:space="preserve">Benchmark cadence, audit log alerts, and when to add new benchmarks</w:t>
            </w:r>
          </w:p>
        </w:tc>
      </w:tr>
    </w:tbl>
    <w:p>
      <w:pPr>
        <w:spacing w:after="80" w:before="0"/>
      </w:pPr>
    </w:p>
    <w:p>
      <w:pPr>
        <w:pStyle w:val="Heading2"/>
        <w:spacing w:after="100" w:before="200"/>
      </w:pPr>
      <w:r>
        <w:rPr>
          <w:rFonts w:ascii="Arial" w:cs="Arial" w:eastAsia="Arial" w:hAnsi="Arial"/>
          <w:b/>
          <w:bCs/>
          <w:color w:val="2E74B5"/>
          <w:sz w:val="28"/>
          <w:szCs w:val="28"/>
        </w:rPr>
        <w:t xml:space="preserve">7.1  Scheduled Benchmark Cadence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Trigger</w:t>
            </w:r>
          </w:p>
        </w:tc>
        <w:tc>
          <w:tcPr>
            <w:tcW w:type="dxa" w:w="6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Required action</w:t>
            </w:r>
          </w:p>
        </w:tc>
      </w:tr>
      <w:tr>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(all spaces, all tiers)</w:t>
            </w:r>
          </w:p>
        </w:tc>
        <w:tc>
          <w:tcPr>
            <w:tcW w:type="dxa" w:w="6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Re-run full benchmark set. Any decline of &gt;5 points from previous run triggers root-cause analysis.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After any space change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Re-run benchmarks immediately after modifying instructions, SQL expressions, example queries, gold views, or underlying table structures. Per Databricks best practices, any change to data assets or instructions can affect response accuracy.</w:t>
            </w:r>
          </w:p>
        </w:tc>
      </w:tr>
      <w:tr>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After any known production error</w:t>
            </w:r>
          </w:p>
        </w:tc>
        <w:tc>
          <w:tcPr>
            <w:tcW w:type="dxa" w:w="6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Add the error question to the benchmark set with correct SQL answer before deploying the fix. Re-run after fix. Confirm benchmark passes. This is required — not optional.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After a new category of user question emerges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Add representative questions from that category to the benchmark set.</w:t>
            </w:r>
          </w:p>
        </w:tc>
      </w:tr>
      <w:tr>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Quarterly (Medium and High risk)</w:t>
            </w:r>
          </w:p>
        </w:tc>
        <w:tc>
          <w:tcPr>
            <w:tcW w:type="dxa" w:w="6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Full SME re-review of 10 sampled responses. Confirms the space has not drifted from SME-validated quality.</w:t>
            </w:r>
          </w:p>
        </w:tc>
      </w:tr>
    </w:tbl>
    <w:p>
      <w:pPr>
        <w:spacing w:after="80" w:before="0"/>
      </w:pPr>
    </w:p>
    <w:p>
      <w:pPr>
        <w:pStyle w:val="Heading2"/>
        <w:spacing w:after="100" w:before="200"/>
      </w:pPr>
      <w:r>
        <w:rPr>
          <w:rFonts w:ascii="Arial" w:cs="Arial" w:eastAsia="Arial" w:hAnsi="Arial"/>
          <w:b/>
          <w:bCs/>
          <w:color w:val="2E74B5"/>
          <w:sz w:val="28"/>
          <w:szCs w:val="28"/>
        </w:rPr>
        <w:t xml:space="preserve">7.2  Audit Log Alert Configuration</w:t>
      </w:r>
    </w:p>
    <w:p>
      <w:pPr>
        <w:spacing w:after="60" w:before="60"/>
        <w:jc w:val="left"/>
      </w:pPr>
      <w:r>
        <w:rPr>
          <w:rFonts w:ascii="Arial" w:cs="Arial" w:eastAsia="Arial" w:hAnsi="Arial"/>
          <w:b w:val="false"/>
          <w:bCs w:val="false"/>
          <w:i w:val="false"/>
          <w:iCs w:val="false"/>
          <w:color w:val="000000"/>
          <w:sz w:val="24"/>
          <w:szCs w:val="24"/>
        </w:rPr>
        <w:t xml:space="preserve">Genie records all user feedback events in the system.access.audit table. A Databricks SQL Alert can be configured to send email notifications to the space’s data scientist when a negative feedback event occurs.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Alert 1: Thumbs-down feedback</w:t>
            </w:r>
          </w:p>
          <w:p>
            <w:pPr>
              <w:spacing w:after="40" w:before="40"/>
            </w:pPr>
            <w:r>
              <w:rPr>
                <w:rFonts w:ascii="Arial" w:cs="Arial" w:eastAsia="Arial" w:hAnsi="Arial"/>
                <w:color w:val="000000"/>
                <w:sz w:val="18"/>
                <w:szCs w:val="18"/>
              </w:rPr>
              <w:t xml:space="preserve">SELECT user_identity.email AS user_email, request_params.space_id, request_params.feedback_rating, event_time, *
FROM system.access.audit
WHERE service_name = 'aibiGenie'
  AND action_name = 'updateConversationMessageFeedback'
  AND request_params.feedback_rating = 'NEGATIVE'
  AND event_date &gt;= current_date() - interval 1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Alert 2: Review requests</w:t>
            </w:r>
          </w:p>
          <w:p>
            <w:pPr>
              <w:spacing w:after="40" w:before="40"/>
            </w:pPr>
            <w:r>
              <w:rPr>
                <w:rFonts w:ascii="Arial" w:cs="Arial" w:eastAsia="Arial" w:hAnsi="Arial"/>
                <w:color w:val="000000"/>
                <w:sz w:val="18"/>
                <w:szCs w:val="18"/>
              </w:rPr>
              <w:t xml:space="preserve">SELECT user_identity.email AS user_email, request_params.space_id, request_params.comment_type, event_time, *
FROM system.access.audit
WHERE service_name = 'aibiGenie'
  AND action_name = 'createConversationMessageComment'
  AND request_params.comment_type IN ('REQUEST_COMMENT', 'THUMBS_DOWN_COMMENT')
  AND event_date &gt;= current_date() - interval 1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When a production alert fires:</w:t>
            </w:r>
          </w:p>
          <w:p>
            <w:pPr>
              <w:spacing w:after="40" w:before="40"/>
            </w:pPr>
            <w:r>
              <w:rPr>
                <w:rFonts w:ascii="Arial" w:cs="Arial" w:eastAsia="Arial" w:hAnsi="Arial"/>
                <w:color w:val="000000"/>
                <w:sz w:val="20"/>
                <w:szCs w:val="20"/>
              </w:rPr>
              <w:t xml:space="preserve">Identify the question from the Monitor tab. Add the question to the benchmark set immediately with the correct SQL answer — required. Fix the root cause at the data model level, not with a text instruction alone. Re-run benchmarks. Confirm the new benchmark passes before closing the issue.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8  Evidence Package for Auditors</w:t>
            </w:r>
          </w:p>
          <w:p>
            <w:pPr>
              <w:spacing w:after="40" w:before="40"/>
            </w:pPr>
            <w:r>
              <w:rPr>
                <w:rFonts w:ascii="Arial" w:cs="Arial" w:eastAsia="Arial" w:hAnsi="Arial"/>
                <w:i/>
                <w:iCs/>
                <w:color w:val="000000"/>
                <w:sz w:val="20"/>
                <w:szCs w:val="20"/>
              </w:rPr>
              <w:t xml:space="preserve">What documentation must exist before and after deployment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Evidence item</w:t>
            </w:r>
          </w:p>
        </w:tc>
        <w:tc>
          <w:tcPr>
            <w:tcW w:type="dxa" w:w="6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Required / Ongoing — what it must show</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Space charter document</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before evaluation begins. Audience, domain, risk tier sign-off, 10–15 benchmark questions, date of sign-off.</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Risk tier classification sign-off</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Signed by data science lead and business stakeholder. Must predate all evaluation activity.</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benchmark run results</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Exported from Genie Benchmarks. Shows: total questions, Good count, Bad count, pass rate %, date. All questions must show Good or Bad — any Manual Review Needed result must be explained in the remediation log.</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answers for all benchmark questions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Every benchmark question must have a SQL answer documented alongside benchmark results. A benchmark set with any question lacking a SQL answer is not valid Layer 1 evidence.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Manual Review Needed remediation log</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if any Manual Review Needed results occurred. Shows: question, root cause, corrective action taken, date resolved. Its presence indicates an exception was encountered and addressed, not that manual scoring was a planned part of Layer 1.</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SME scoring packets (completed)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for Medium and High risk. Reviewer name, role, questions reviewed, scores per dimension with rationale for any score below 3, date.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Policy/Compliance review record</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for Medium and High risk. Compliance reviewer name, questions reviewed, Pass/Fail per question, any FAIL descriptions, date.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Reviewer calibration record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for Layer 2. Calibration samples used, pre/post calibration agreement scores, date.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per-interaction rating forms (all testers)</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Tester role, task list questions, rating per interaction, comments, Genie UI thumbs confirmation.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aggregate scoring summary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Per-dimension pass rates against tier thresholds, tester count, task completion rate. All dimension results documented with pass/fail determination for each.</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Phased rollout monitoring records</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per stage. Benchmark re-run results, Monitor tab summary, negative feedback events and resolution.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benchmark re-run results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ONGOING. Date, pass rate, comparison to previous run, remediation actions.</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Audit log alert configuration</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ONGOING. Alert SQL, schedule, recipient email, log of alert fires and resolution.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New benchmark log</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ONGOING. Question added, date of error, SQL answer, date benchmark confirmed passing.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9  References</w:t>
            </w:r>
          </w:p>
          <w:p>
            <w:pPr>
              <w:spacing w:after="40" w:before="40"/>
            </w:pPr>
            <w:r>
              <w:rPr>
                <w:rFonts w:ascii="Arial" w:cs="Arial" w:eastAsia="Arial" w:hAnsi="Arial"/>
                <w:i/>
                <w:iCs/>
                <w:color w:val="000000"/>
                <w:sz w:val="20"/>
                <w:szCs w:val="20"/>
              </w:rPr>
              <w:t xml:space="preserve">Grouped by what each reference supports. Verification status noted for each.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ACADEMIC PEER-REVIEWED</w:t>
            </w:r>
          </w:p>
          <w:p>
            <w:pPr>
              <w:spacing w:after="40" w:before="40"/>
            </w:pPr>
            <w:r>
              <w:rPr>
                <w:rFonts w:ascii="Arial" w:cs="Arial" w:eastAsia="Arial" w:hAnsi="Arial"/>
                <w:color w:val="FFFFFF"/>
                <w:sz w:val="18"/>
                <w:szCs w:val="18"/>
              </w:rPr>
              <w:t xml:space="preserve">Published in peer-reviewed venues. Highest evidentiary standard for auditor citation.</w:t>
            </w:r>
          </w:p>
        </w:tc>
        <w:tc>
          <w:tcPr>
            <w:tcW w:type="dxa" w:w="3120"/>
            <w:tcBorders>
              <w:top w:val="single" w:color="CCCCCC" w:sz="4"/>
              <w:left w:val="single" w:color="CCCCCC" w:sz="4"/>
              <w:bottom w:val="single" w:color="CCCCCC" w:sz="4"/>
              <w:right w:val="single" w:color="CCCCCC" w:sz="4"/>
            </w:tcBorders>
            <w:shd w:fill="2E74B5"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APPLIED INDUSTRY</w:t>
            </w:r>
          </w:p>
          <w:p>
            <w:pPr>
              <w:spacing w:after="40" w:before="40"/>
            </w:pPr>
            <w:r>
              <w:rPr>
                <w:rFonts w:ascii="Arial" w:cs="Arial" w:eastAsia="Arial" w:hAnsi="Arial"/>
                <w:color w:val="FFFFFF"/>
                <w:sz w:val="18"/>
                <w:szCs w:val="18"/>
              </w:rPr>
              <w:t xml:space="preserve">Published by recognized vendors or platforms. Strong practitioner evidence.</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INDUSTRY GOVERNANCE</w:t>
            </w:r>
          </w:p>
          <w:p>
            <w:pPr>
              <w:spacing w:after="40" w:before="40"/>
            </w:pPr>
            <w:r>
              <w:rPr>
                <w:rFonts w:ascii="Arial" w:cs="Arial" w:eastAsia="Arial" w:hAnsi="Arial"/>
                <w:color w:val="FFFFFF"/>
                <w:sz w:val="18"/>
                <w:szCs w:val="18"/>
              </w:rPr>
              <w:t xml:space="preserve">Published by governance/standards bodies (ISACA, ValidMind). For risk and compliance framework citation.</w:t>
            </w:r>
          </w:p>
        </w:tc>
      </w:tr>
    </w:tbl>
    <w:p>
      <w:pPr>
        <w:spacing w:after="80" w:before="0"/>
      </w:pPr>
    </w:p>
    <w:p>
      <w:pPr>
        <w:pStyle w:val="Heading2"/>
        <w:spacing w:after="100" w:before="200"/>
      </w:pPr>
      <w:r>
        <w:rPr>
          <w:rFonts w:ascii="Arial" w:cs="Arial" w:eastAsia="Arial" w:hAnsi="Arial"/>
          <w:b/>
          <w:bCs/>
          <w:color w:val="2E74B5"/>
          <w:sz w:val="28"/>
          <w:szCs w:val="28"/>
        </w:rPr>
        <w:t xml:space="preserve">Part 1: NL2SQL Accuracy and Evaluation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Yu et al. (Yale)
EMNLP 2018</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Spider: A Large-Scale Human-Labeled Dataset for Complex and Cross-Domain Semantic Parsing and Text-to-SQL Task</w:t>
            </w:r>
          </w:p>
          <w:p>
            <w:pPr>
              <w:spacing w:after="40" w:before="40"/>
            </w:pPr>
            <w:r>
              <w:rPr>
                <w:rFonts w:ascii="Arial" w:cs="Arial" w:eastAsia="Arial" w:hAnsi="Arial"/>
                <w:sz w:val="20"/>
                <w:szCs w:val="20"/>
              </w:rPr>
              <w:t xml:space="preserve">The foundational NL2SQL benchmark dataset. State-of-art models now achieve ~88% execution accuracy on Spider — the upper bound of the open-domain accuracy range cited in threshold rationale throughout Appendix A. What this supports: NL2SQL baseline accuracy figures used to anchor threshold values. Verified: arXiv abstract and Yale LILY lab website confirmed.</w:t>
            </w:r>
          </w:p>
          <w:p>
            <w:pPr>
              <w:spacing w:after="20" w:before="40"/>
            </w:pPr>
            <w:r>
              <w:rPr>
                <w:rFonts w:ascii="Arial" w:cs="Arial" w:eastAsia="Arial" w:hAnsi="Arial"/>
                <w:color w:val="2E74B5"/>
                <w:sz w:val="18"/>
                <w:szCs w:val="18"/>
              </w:rPr>
              <w:t xml:space="preserve">https://arxiv.org/abs/1809.08887</w:t>
            </w:r>
          </w:p>
          <w:p>
            <w:pPr>
              <w:spacing w:after="60" w:before="20"/>
            </w:pPr>
            <w:r>
              <w:rPr>
                <w:rFonts w:ascii="Arial" w:cs="Arial" w:eastAsia="Arial" w:hAnsi="Arial"/>
                <w:i/>
                <w:iCs/>
                <w:color w:val="444444"/>
                <w:sz w:val="18"/>
                <w:szCs w:val="18"/>
              </w:rPr>
              <w:t xml:space="preserve">Yu, T., Zhang, R., Yang, K., et al. (2018). Spider. EMNLP 2018. arXiv:1809.08887.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Li et al.
NeurIPS 2023 Spotlight</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Can LLM Already Serve as a Database Interface? A BIg Bench for Large-Scale Database Grounded Text-to-SQLs (BIRD)</w:t>
            </w:r>
          </w:p>
          <w:p>
            <w:pPr>
              <w:spacing w:after="40" w:before="40"/>
            </w:pPr>
            <w:r>
              <w:rPr>
                <w:rFonts w:ascii="Arial" w:cs="Arial" w:eastAsia="Arial" w:hAnsi="Arial"/>
                <w:sz w:val="20"/>
                <w:szCs w:val="20"/>
              </w:rPr>
              <w:t xml:space="preserve">Enterprise-complexity NL2SQL benchmark. State-of-art models achieve ~67% execution accuracy — the lower bound of the open-domain accuracy range. What this supports: NL2SQL baseline accuracy figures used to anchor threshold values. Verified: arXiv abstract and BIRD-bench.github.io confirmed. Note: accepted NeurIPS 2023 as Spotlight.</w:t>
            </w:r>
          </w:p>
          <w:p>
            <w:pPr>
              <w:spacing w:after="20" w:before="40"/>
            </w:pPr>
            <w:r>
              <w:rPr>
                <w:rFonts w:ascii="Arial" w:cs="Arial" w:eastAsia="Arial" w:hAnsi="Arial"/>
                <w:color w:val="2E74B5"/>
                <w:sz w:val="18"/>
                <w:szCs w:val="18"/>
              </w:rPr>
              <w:t xml:space="preserve">https://arxiv.org/abs/2305.03111</w:t>
            </w:r>
          </w:p>
          <w:p>
            <w:pPr>
              <w:spacing w:after="60" w:before="20"/>
            </w:pPr>
            <w:r>
              <w:rPr>
                <w:rFonts w:ascii="Arial" w:cs="Arial" w:eastAsia="Arial" w:hAnsi="Arial"/>
                <w:i/>
                <w:iCs/>
                <w:color w:val="444444"/>
                <w:sz w:val="18"/>
                <w:szCs w:val="18"/>
              </w:rPr>
              <w:t xml:space="preserve">Li, J., Hui, B., Qu, G., et al. (2023). BIRD. NeurIPS 2023 Spotlight. arXiv:2305.03111.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Ma et al. (IDEA-FinAI)
NeurIPS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SQL-R1: Training Natural Language to SQL Reasoning Model By Reinforcement Learning</w:t>
            </w:r>
          </w:p>
          <w:p>
            <w:pPr>
              <w:spacing w:after="40" w:before="40"/>
            </w:pPr>
            <w:r>
              <w:rPr>
                <w:rFonts w:ascii="Arial" w:cs="Arial" w:eastAsia="Arial" w:hAnsi="Arial"/>
                <w:sz w:val="20"/>
                <w:szCs w:val="20"/>
              </w:rPr>
              <w:t xml:space="preserve">Reports 88.6% execution accuracy on Spider and 66.6–67.1% on BIRD. What this supports: specific state-of-art NL2SQL accuracy figures cited in Appendix A threshold rationale. Verified: arXiv abstract confirmed; accepted NeurIPS 2025 per GitHub repository.</w:t>
            </w:r>
          </w:p>
          <w:p>
            <w:pPr>
              <w:spacing w:after="20" w:before="40"/>
            </w:pPr>
            <w:r>
              <w:rPr>
                <w:rFonts w:ascii="Arial" w:cs="Arial" w:eastAsia="Arial" w:hAnsi="Arial"/>
                <w:color w:val="2E74B5"/>
                <w:sz w:val="18"/>
                <w:szCs w:val="18"/>
              </w:rPr>
              <w:t xml:space="preserve">https://arxiv.org/abs/2504.08600</w:t>
            </w:r>
          </w:p>
          <w:p>
            <w:pPr>
              <w:spacing w:after="60" w:before="20"/>
            </w:pPr>
            <w:r>
              <w:rPr>
                <w:rFonts w:ascii="Arial" w:cs="Arial" w:eastAsia="Arial" w:hAnsi="Arial"/>
                <w:i/>
                <w:iCs/>
                <w:color w:val="444444"/>
                <w:sz w:val="18"/>
                <w:szCs w:val="18"/>
              </w:rPr>
              <w:t xml:space="preserve">Ma, P., Zhuang, X., Xu, C., et al. (2025). SQL-R1. NeurIPS 2025. arXiv:2504.08600.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Ipeirotis &amp; Zheng (NYU Stern)
IEEE TKDE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Natural Language Interfaces for Databases: What Do Users Think?</w:t>
            </w:r>
          </w:p>
          <w:p>
            <w:pPr>
              <w:spacing w:after="40" w:before="40"/>
            </w:pPr>
            <w:r>
              <w:rPr>
                <w:rFonts w:ascii="Arial" w:cs="Arial" w:eastAsia="Arial" w:hAnsi="Arial"/>
                <w:sz w:val="20"/>
                <w:szCs w:val="20"/>
              </w:rPr>
              <w:t xml:space="preserve">Confirms that NL2SQL accuracy alone is insufficient for deployment — user trust, interaction quality, and result interpretability must also be assessed. What this supports: the requirement for Layer 3 user testing beyond automated benchmarks (Section 5.4). Verified: arXiv abstract confirmed; manuscript received November 2025.</w:t>
            </w:r>
          </w:p>
          <w:p>
            <w:pPr>
              <w:spacing w:after="20" w:before="40"/>
            </w:pPr>
            <w:r>
              <w:rPr>
                <w:rFonts w:ascii="Arial" w:cs="Arial" w:eastAsia="Arial" w:hAnsi="Arial"/>
                <w:color w:val="2E74B5"/>
                <w:sz w:val="18"/>
                <w:szCs w:val="18"/>
              </w:rPr>
              <w:t xml:space="preserve">https://arxiv.org/abs/2511.14718</w:t>
            </w:r>
          </w:p>
          <w:p>
            <w:pPr>
              <w:spacing w:after="60" w:before="20"/>
            </w:pPr>
            <w:r>
              <w:rPr>
                <w:rFonts w:ascii="Arial" w:cs="Arial" w:eastAsia="Arial" w:hAnsi="Arial"/>
                <w:i/>
                <w:iCs/>
                <w:color w:val="444444"/>
                <w:sz w:val="18"/>
                <w:szCs w:val="18"/>
              </w:rPr>
              <w:t xml:space="preserve">Ipeirotis, P. &amp; Zheng, H. (2025). Natural Language Interfaces for Databases: What Do Users Think? IEEE TKDE. arXiv:2511.14718.</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Liang et al. (Stanford CRFM)
TMLR 2023</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HELM: Holistic Evaluation of Language Models</w:t>
            </w:r>
          </w:p>
          <w:p>
            <w:pPr>
              <w:spacing w:after="40" w:before="40"/>
            </w:pPr>
            <w:r>
              <w:rPr>
                <w:rFonts w:ascii="Arial" w:cs="Arial" w:eastAsia="Arial" w:hAnsi="Arial"/>
                <w:sz w:val="20"/>
                <w:szCs w:val="20"/>
              </w:rPr>
              <w:t xml:space="preserve">Establishes that single-metric evaluation is insufficient for responsible AI deployment. What this supports: the multi-dimensional evaluation rubric across all three layers. Verified: arXiv abstract confirmed.</w:t>
            </w:r>
          </w:p>
          <w:p>
            <w:pPr>
              <w:spacing w:after="20" w:before="40"/>
            </w:pPr>
            <w:r>
              <w:rPr>
                <w:rFonts w:ascii="Arial" w:cs="Arial" w:eastAsia="Arial" w:hAnsi="Arial"/>
                <w:color w:val="2E74B5"/>
                <w:sz w:val="18"/>
                <w:szCs w:val="18"/>
              </w:rPr>
              <w:t xml:space="preserve">https://arxiv.org/abs/2211.09110</w:t>
            </w:r>
          </w:p>
          <w:p>
            <w:pPr>
              <w:spacing w:after="60" w:before="20"/>
            </w:pPr>
            <w:r>
              <w:rPr>
                <w:rFonts w:ascii="Arial" w:cs="Arial" w:eastAsia="Arial" w:hAnsi="Arial"/>
                <w:i/>
                <w:iCs/>
                <w:color w:val="444444"/>
                <w:sz w:val="18"/>
                <w:szCs w:val="18"/>
              </w:rPr>
              <w:t xml:space="preserve">Liang, P., et al. (2023). HELM. TMLR. arXiv:2211.09110.</w:t>
            </w:r>
          </w:p>
        </w:tc>
      </w:tr>
    </w:tbl>
    <w:p>
      <w:pPr>
        <w:spacing w:after="120" w:before="0"/>
      </w:pPr>
    </w:p>
    <w:p>
      <w:pPr>
        <w:pStyle w:val="Heading2"/>
        <w:spacing w:after="100" w:before="200"/>
      </w:pPr>
      <w:r>
        <w:rPr>
          <w:rFonts w:ascii="Arial" w:cs="Arial" w:eastAsia="Arial" w:hAnsi="Arial"/>
          <w:b/>
          <w:bCs/>
          <w:color w:val="2E74B5"/>
          <w:sz w:val="28"/>
          <w:szCs w:val="28"/>
        </w:rPr>
        <w:t xml:space="preserve">Part 2: UI Feedback Limitations and Audit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Pang, Roller, Cho, He &amp; Weston
(NYU / Meta AI)
EACL 2024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Leveraging Implicit Feedback from Deployment Data in Dialogue</w:t>
            </w:r>
          </w:p>
          <w:p>
            <w:pPr>
              <w:spacing w:after="40" w:before="40"/>
            </w:pPr>
            <w:r>
              <w:rPr>
                <w:rFonts w:ascii="Arial" w:cs="Arial" w:eastAsia="Arial" w:hAnsi="Arial"/>
                <w:sz w:val="20"/>
                <w:szCs w:val="20"/>
              </w:rPr>
              <w:t xml:space="preserve">Primary research source for the finding that organic users provide sparse, unreliable explicit ratings. States: ‘organic users may not want to be burdened with providing explicit signals, or else may provide unreliable information.’ What this supports: Section 4 citation for UI feedback limitations. Verified: arXiv abstract confirmed; published EACL 2024 (ACL Anthology: 2024.eacl-short.8).</w:t>
            </w:r>
          </w:p>
          <w:p>
            <w:pPr>
              <w:spacing w:after="20" w:before="40"/>
            </w:pPr>
            <w:r>
              <w:rPr>
                <w:rFonts w:ascii="Arial" w:cs="Arial" w:eastAsia="Arial" w:hAnsi="Arial"/>
                <w:color w:val="2E74B5"/>
                <w:sz w:val="18"/>
                <w:szCs w:val="18"/>
              </w:rPr>
              <w:t xml:space="preserve">https://arxiv.org/abs/2307.14117</w:t>
            </w:r>
          </w:p>
          <w:p>
            <w:pPr>
              <w:spacing w:after="60" w:before="20"/>
            </w:pPr>
            <w:r>
              <w:rPr>
                <w:rFonts w:ascii="Arial" w:cs="Arial" w:eastAsia="Arial" w:hAnsi="Arial"/>
                <w:i/>
                <w:iCs/>
                <w:color w:val="444444"/>
                <w:sz w:val="18"/>
                <w:szCs w:val="18"/>
              </w:rPr>
              <w:t xml:space="preserve">Pang, R.Y., Roller, S., Cho, K., He, H., &amp; Weston, J. (2024). Leveraging Implicit Feedback from Deployment Data in Dialogue. EACL 2024. arXiv:2307.14117.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Staufer, Yang, Reuel &amp; Casper
arXiv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Audit Cards: Contextualizing AI Evaluations</w:t>
            </w:r>
          </w:p>
          <w:p>
            <w:pPr>
              <w:spacing w:after="40" w:before="40"/>
            </w:pPr>
            <w:r>
              <w:rPr>
                <w:rFonts w:ascii="Arial" w:cs="Arial" w:eastAsia="Arial" w:hAnsi="Arial"/>
                <w:sz w:val="20"/>
                <w:szCs w:val="20"/>
              </w:rPr>
              <w:t xml:space="preserve">Establishes that AI audits can only fulfill their role if underlying evaluations are technically rigorous; not all evaluations are equally rigorous. What this supports: Section 4 citation for audit evidence standards. Verified: arXiv abstract confirmed.</w:t>
            </w:r>
          </w:p>
          <w:p>
            <w:pPr>
              <w:spacing w:after="20" w:before="40"/>
            </w:pPr>
            <w:r>
              <w:rPr>
                <w:rFonts w:ascii="Arial" w:cs="Arial" w:eastAsia="Arial" w:hAnsi="Arial"/>
                <w:color w:val="2E74B5"/>
                <w:sz w:val="18"/>
                <w:szCs w:val="18"/>
              </w:rPr>
              <w:t xml:space="preserve">https://arxiv.org/abs/2504.13839</w:t>
            </w:r>
          </w:p>
          <w:p>
            <w:pPr>
              <w:spacing w:after="60" w:before="20"/>
            </w:pPr>
            <w:r>
              <w:rPr>
                <w:rFonts w:ascii="Arial" w:cs="Arial" w:eastAsia="Arial" w:hAnsi="Arial"/>
                <w:i/>
                <w:iCs/>
                <w:color w:val="444444"/>
                <w:sz w:val="18"/>
                <w:szCs w:val="18"/>
              </w:rPr>
              <w:t xml:space="preserve">Staufer, L., Yang, M., Reuel, A., &amp; Casper, S. (2025). Audit Cards: Contextualizing AI Evaluations. arXiv:2504.13839.</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Snorkel AI
2026</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The Right Tool for the Job: An A-Z of Rubrics</w:t>
            </w:r>
          </w:p>
          <w:p>
            <w:pPr>
              <w:spacing w:after="40" w:before="40"/>
            </w:pPr>
            <w:r>
              <w:rPr>
                <w:rFonts w:ascii="Arial" w:cs="Arial" w:eastAsia="Arial" w:hAnsi="Arial"/>
                <w:sz w:val="20"/>
                <w:szCs w:val="20"/>
              </w:rPr>
              <w:t xml:space="preserve">States: ‘While it’s quick to press thumbs up or thumbs down, the lack of clear criteria fails to capture the specific qualities of a response.’ What this supports: Section 4 citation for rubric vs. binary feedback. Verified: URL confirmed; quoted text confirmed verbatim.</w:t>
            </w:r>
          </w:p>
          <w:p>
            <w:pPr>
              <w:spacing w:after="20" w:before="40"/>
            </w:pPr>
            <w:r>
              <w:rPr>
                <w:rFonts w:ascii="Arial" w:cs="Arial" w:eastAsia="Arial" w:hAnsi="Arial"/>
                <w:color w:val="2E74B5"/>
                <w:sz w:val="18"/>
                <w:szCs w:val="18"/>
              </w:rPr>
              <w:t xml:space="preserve">https://snorkel.ai/blog/the-right-tool-for-the-job-an-a-z-of-rubrics/</w:t>
            </w:r>
          </w:p>
          <w:p>
            <w:pPr>
              <w:spacing w:after="60" w:before="20"/>
            </w:pPr>
            <w:r>
              <w:rPr>
                <w:rFonts w:ascii="Arial" w:cs="Arial" w:eastAsia="Arial" w:hAnsi="Arial"/>
                <w:i/>
                <w:iCs/>
                <w:color w:val="444444"/>
                <w:sz w:val="18"/>
                <w:szCs w:val="18"/>
              </w:rPr>
              <w:t xml:space="preserve">Snorkel AI. (2026). The Right Tool for the Job: An A-Z of Rubrics. Snorkel AI Blog.</w:t>
            </w:r>
          </w:p>
        </w:tc>
      </w:tr>
    </w:tbl>
    <w:p>
      <w:pPr>
        <w:spacing w:after="120" w:before="0"/>
      </w:pPr>
    </w:p>
    <w:p>
      <w:pPr>
        <w:pStyle w:val="Heading2"/>
        <w:spacing w:after="100" w:before="200"/>
      </w:pPr>
      <w:r>
        <w:rPr>
          <w:rFonts w:ascii="Arial" w:cs="Arial" w:eastAsia="Arial" w:hAnsi="Arial"/>
          <w:b/>
          <w:bCs/>
          <w:color w:val="2E74B5"/>
          <w:sz w:val="28"/>
          <w:szCs w:val="28"/>
        </w:rPr>
        <w:t xml:space="preserve">Part 3: Databricks Genie Product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Blog
October 2024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Building Confidence in Your Genie Space with Benchmarks and Ask for Review</w:t>
            </w:r>
          </w:p>
          <w:p>
            <w:pPr>
              <w:spacing w:after="40" w:before="40"/>
            </w:pPr>
            <w:r>
              <w:rPr>
                <w:rFonts w:ascii="Arial" w:cs="Arial" w:eastAsia="Arial" w:hAnsi="Arial"/>
                <w:sz w:val="20"/>
                <w:szCs w:val="20"/>
              </w:rPr>
              <w:t xml:space="preserve">Frames Ask for Review as a tool for users who want a second opinion before presenting findings as factual. Frames Benchmarks as systematic evaluation. What this supports: the UI feedback vs. structured evaluation principle (Section 4). Verified: URL confirmed.</w:t>
            </w:r>
          </w:p>
          <w:p>
            <w:pPr>
              <w:spacing w:after="20" w:before="40"/>
            </w:pPr>
            <w:r>
              <w:rPr>
                <w:rFonts w:ascii="Arial" w:cs="Arial" w:eastAsia="Arial" w:hAnsi="Arial"/>
                <w:color w:val="2E74B5"/>
                <w:sz w:val="18"/>
                <w:szCs w:val="18"/>
              </w:rPr>
              <w:t xml:space="preserve">https://www.databricks.com/blog/building-confidence-your-genie-space-benchmarks-and-ask-review</w:t>
            </w:r>
          </w:p>
          <w:p>
            <w:pPr>
              <w:spacing w:after="60" w:before="20"/>
            </w:pPr>
            <w:r>
              <w:rPr>
                <w:rFonts w:ascii="Arial" w:cs="Arial" w:eastAsia="Arial" w:hAnsi="Arial"/>
                <w:i/>
                <w:iCs/>
                <w:color w:val="444444"/>
                <w:sz w:val="18"/>
                <w:szCs w:val="18"/>
              </w:rPr>
              <w:t xml:space="preserve">Databricks. (2024, October). Building Confidence in Your Genie Space with Benchmarks and Ask for Review. Databricks Blog.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Blog
February 2026</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How to Build Production-Ready Genie Spaces, and Build Trust Along the Way</w:t>
            </w:r>
          </w:p>
          <w:p>
            <w:pPr>
              <w:spacing w:after="40" w:before="40"/>
            </w:pPr>
            <w:r>
              <w:rPr>
                <w:rFonts w:ascii="Arial" w:cs="Arial" w:eastAsia="Arial" w:hAnsi="Arial"/>
                <w:sz w:val="20"/>
                <w:szCs w:val="20"/>
              </w:rPr>
              <w:t xml:space="preserve">States that trust requires ‘moving beyond subjective assessment to measurable validation’ and that benchmarks provide ‘a data-driven way to evaluate the quality of your Genie space.’ What this supports: strongest Databricks source for the principle that benchmark evaluation — not UI feedback — is the deployment readiness standard (Section 4). Verified: URL confirmed.</w:t>
            </w:r>
          </w:p>
          <w:p>
            <w:pPr>
              <w:spacing w:after="20" w:before="40"/>
            </w:pPr>
            <w:r>
              <w:rPr>
                <w:rFonts w:ascii="Arial" w:cs="Arial" w:eastAsia="Arial" w:hAnsi="Arial"/>
                <w:color w:val="2E74B5"/>
                <w:sz w:val="18"/>
                <w:szCs w:val="18"/>
              </w:rPr>
              <w:t xml:space="preserve">https://www.databricks.com/en/blog/how-build-production-ready-genie-spaces-and-build-trust-along-way</w:t>
            </w:r>
          </w:p>
          <w:p>
            <w:pPr>
              <w:spacing w:after="60" w:before="20"/>
            </w:pPr>
            <w:r>
              <w:rPr>
                <w:rFonts w:ascii="Arial" w:cs="Arial" w:eastAsia="Arial" w:hAnsi="Arial"/>
                <w:i/>
                <w:iCs/>
                <w:color w:val="444444"/>
                <w:sz w:val="18"/>
                <w:szCs w:val="18"/>
              </w:rPr>
              <w:t xml:space="preserve">Databricks. (2026, February). How to Build Production-Ready Genie Spaces. Databricks Blog.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Documentation</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Use Benchmarks in a Genie Space</w:t>
            </w:r>
          </w:p>
          <w:p>
            <w:pPr>
              <w:spacing w:after="40" w:before="40"/>
            </w:pPr>
            <w:r>
              <w:rPr>
                <w:rFonts w:ascii="Arial" w:cs="Arial" w:eastAsia="Arial" w:hAnsi="Arial"/>
                <w:sz w:val="20"/>
                <w:szCs w:val="20"/>
              </w:rPr>
              <w:t xml:space="preserve">Technical reference for benchmark question structure, SQL answer requirement, Good/Bad/Manual Review Needed rating logic, 2–4 phrasing recommendation, and 500 benchmark question limit. Note: Databricks permits benchmark questions without SQL answers as a platform default. This organisation’s stricter standard — requiring SQL answers for all questions — is documented in Sections 5.2 and Appendix A with rationale for auditors.</w:t>
            </w:r>
          </w:p>
          <w:p>
            <w:pPr>
              <w:spacing w:after="20" w:before="40"/>
            </w:pPr>
            <w:r>
              <w:rPr>
                <w:rFonts w:ascii="Arial" w:cs="Arial" w:eastAsia="Arial" w:hAnsi="Arial"/>
                <w:color w:val="2E74B5"/>
                <w:sz w:val="18"/>
                <w:szCs w:val="18"/>
              </w:rPr>
              <w:t xml:space="preserve">https://docs.databricks.com/aws/en/genie/benchmarks</w:t>
            </w:r>
          </w:p>
          <w:p>
            <w:pPr>
              <w:spacing w:after="60" w:before="20"/>
            </w:pPr>
            <w:r>
              <w:rPr>
                <w:rFonts w:ascii="Arial" w:cs="Arial" w:eastAsia="Arial" w:hAnsi="Arial"/>
                <w:i/>
                <w:iCs/>
                <w:color w:val="444444"/>
                <w:sz w:val="18"/>
                <w:szCs w:val="18"/>
              </w:rPr>
              <w:t xml:space="preserve">Databricks. (2026). Use Benchmarks in a Genie Space. Databricks Documentation.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Documentation</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Monitor Genie Spaces with Audit Logs</w:t>
            </w:r>
          </w:p>
          <w:p>
            <w:pPr>
              <w:spacing w:after="40" w:before="40"/>
            </w:pPr>
            <w:r>
              <w:rPr>
                <w:rFonts w:ascii="Arial" w:cs="Arial" w:eastAsia="Arial" w:hAnsi="Arial"/>
                <w:sz w:val="20"/>
                <w:szCs w:val="20"/>
              </w:rPr>
              <w:t xml:space="preserve">Source for the two SQL queries in Section 7.2. Confirms system.access.audit table fields including comment_type values.</w:t>
            </w:r>
          </w:p>
          <w:p>
            <w:pPr>
              <w:spacing w:after="20" w:before="40"/>
            </w:pPr>
            <w:r>
              <w:rPr>
                <w:rFonts w:ascii="Arial" w:cs="Arial" w:eastAsia="Arial" w:hAnsi="Arial"/>
                <w:color w:val="2E74B5"/>
                <w:sz w:val="18"/>
                <w:szCs w:val="18"/>
              </w:rPr>
              <w:t xml:space="preserve">https://docs.databricks.com/aws/en/ai-bi/admin/audit</w:t>
            </w:r>
          </w:p>
          <w:p>
            <w:pPr>
              <w:spacing w:after="60" w:before="20"/>
            </w:pPr>
            <w:r>
              <w:rPr>
                <w:rFonts w:ascii="Arial" w:cs="Arial" w:eastAsia="Arial" w:hAnsi="Arial"/>
                <w:i/>
                <w:iCs/>
                <w:color w:val="444444"/>
                <w:sz w:val="18"/>
                <w:szCs w:val="18"/>
              </w:rPr>
              <w:t xml:space="preserve">Databricks. (2026). Monitor Genie Spaces Usage with Audit Logs and Alerts. Databricks Documentation.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Documentation</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Curate an Effective Genie Space (Best Practices)</w:t>
            </w:r>
          </w:p>
          <w:p>
            <w:pPr>
              <w:spacing w:after="40" w:before="40"/>
            </w:pPr>
            <w:r>
              <w:rPr>
                <w:rFonts w:ascii="Arial" w:cs="Arial" w:eastAsia="Arial" w:hAnsi="Arial"/>
                <w:sz w:val="20"/>
                <w:szCs w:val="20"/>
              </w:rPr>
              <w:t xml:space="preserve">Source for best practices on space design: starting small, using SQL expressions over text instructions, using example SQL for complex questions, iterating based on user feedback, and using benchmarks for systematic testing. What this supports: Sections 5.2–5.4 evaluation guidance and remediation decision rules (Section 6). Verified: URL confirmed.</w:t>
            </w:r>
          </w:p>
          <w:p>
            <w:pPr>
              <w:spacing w:after="20" w:before="40"/>
            </w:pPr>
            <w:r>
              <w:rPr>
                <w:rFonts w:ascii="Arial" w:cs="Arial" w:eastAsia="Arial" w:hAnsi="Arial"/>
                <w:color w:val="2E74B5"/>
                <w:sz w:val="18"/>
                <w:szCs w:val="18"/>
              </w:rPr>
              <w:t xml:space="preserve">https://docs.databricks.com/aws/en/genie/best-practices</w:t>
            </w:r>
          </w:p>
          <w:p>
            <w:pPr>
              <w:spacing w:after="60" w:before="20"/>
            </w:pPr>
            <w:r>
              <w:rPr>
                <w:rFonts w:ascii="Arial" w:cs="Arial" w:eastAsia="Arial" w:hAnsi="Arial"/>
                <w:i/>
                <w:iCs/>
                <w:color w:val="444444"/>
                <w:sz w:val="18"/>
                <w:szCs w:val="18"/>
              </w:rPr>
              <w:t xml:space="preserve">Databricks. (2026). Curate an Effective Genie Space. Databricks Documentation.</w:t>
            </w:r>
          </w:p>
        </w:tc>
      </w:tr>
    </w:tbl>
    <w:p>
      <w:pPr>
        <w:spacing w:after="120" w:before="0"/>
      </w:pPr>
    </w:p>
    <w:p>
      <w:pPr>
        <w:pStyle w:val="Heading2"/>
        <w:spacing w:after="100" w:before="200"/>
      </w:pPr>
      <w:r>
        <w:rPr>
          <w:rFonts w:ascii="Arial" w:cs="Arial" w:eastAsia="Arial" w:hAnsi="Arial"/>
          <w:b/>
          <w:bCs/>
          <w:color w:val="2E74B5"/>
          <w:sz w:val="28"/>
          <w:szCs w:val="28"/>
        </w:rPr>
        <w:t xml:space="preserve">Part 4: Risk Governance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INDUSTRY
GOVERNANCE
Carmichael / ISACA
August 2024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Applying Risk Appetite and Risk Tolerance in the Age of AI</w:t>
            </w:r>
          </w:p>
          <w:p>
            <w:pPr>
              <w:spacing w:after="40" w:before="40"/>
            </w:pPr>
            <w:r>
              <w:rPr>
                <w:rFonts w:ascii="Arial" w:cs="Arial" w:eastAsia="Arial" w:hAnsi="Arial"/>
                <w:sz w:val="20"/>
                <w:szCs w:val="20"/>
              </w:rPr>
              <w:t xml:space="preserve">Establishes that AI deployments require risk appetite and tolerance statements with explicit metrics. What this supports: risk-tiered threshold approach and the requirement that risk tier be set before evaluation (Sections 2 and Appendix A). Verified: URL confirmed.</w:t>
            </w:r>
          </w:p>
          <w:p>
            <w:pPr>
              <w:spacing w:after="20" w:before="40"/>
            </w:pPr>
            <w:r>
              <w:rPr>
                <w:rFonts w:ascii="Arial" w:cs="Arial" w:eastAsia="Arial" w:hAnsi="Arial"/>
                <w:color w:val="2E74B5"/>
                <w:sz w:val="18"/>
                <w:szCs w:val="18"/>
              </w:rPr>
              <w:t xml:space="preserve">https://www.isaca.org/resources/news-and-trends/newsletters/atisaca/2024/volume-16/applying-risk-appetite-and-risk-tolerance-in-the-age-of-ai</w:t>
            </w:r>
          </w:p>
          <w:p>
            <w:pPr>
              <w:spacing w:after="60" w:before="20"/>
            </w:pPr>
            <w:r>
              <w:rPr>
                <w:rFonts w:ascii="Arial" w:cs="Arial" w:eastAsia="Arial" w:hAnsi="Arial"/>
                <w:i/>
                <w:iCs/>
                <w:color w:val="444444"/>
                <w:sz w:val="18"/>
                <w:szCs w:val="18"/>
              </w:rPr>
              <w:t xml:space="preserve">Carmichael, M. (2024, August 19). Applying Risk Appetite and Risk Tolerance in the Age of AI. ISACA AtIsaca Newsletter, Volume 16.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INDUSTRY
GOVERNANCE
ValidMind
January 2026</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When Accuracy Fails: Risk Tiering, Proxy Bias, and High-Stakes Insurance AI</w:t>
            </w:r>
          </w:p>
          <w:p>
            <w:pPr>
              <w:spacing w:after="40" w:before="40"/>
            </w:pPr>
            <w:r>
              <w:rPr>
                <w:rFonts w:ascii="Arial" w:cs="Arial" w:eastAsia="Arial" w:hAnsi="Arial"/>
                <w:sz w:val="20"/>
                <w:szCs w:val="20"/>
              </w:rPr>
              <w:t xml:space="preserve">Establishes that accuracy thresholds must be set by consequence of failure, not a universal number. What this supports: the three-tier threshold table and the hard disqualifier principle (Appendix A). Verified: URL confirmed.</w:t>
            </w:r>
          </w:p>
          <w:p>
            <w:pPr>
              <w:spacing w:after="20" w:before="40"/>
            </w:pPr>
            <w:r>
              <w:rPr>
                <w:rFonts w:ascii="Arial" w:cs="Arial" w:eastAsia="Arial" w:hAnsi="Arial"/>
                <w:color w:val="2E74B5"/>
                <w:sz w:val="18"/>
                <w:szCs w:val="18"/>
              </w:rPr>
              <w:t xml:space="preserve">https://validmind.com/blog/when-accuracy-fails-high-stakes-in-insurance-ai/</w:t>
            </w:r>
          </w:p>
          <w:p>
            <w:pPr>
              <w:spacing w:after="60" w:before="20"/>
            </w:pPr>
            <w:r>
              <w:rPr>
                <w:rFonts w:ascii="Arial" w:cs="Arial" w:eastAsia="Arial" w:hAnsi="Arial"/>
                <w:i/>
                <w:iCs/>
                <w:color w:val="444444"/>
                <w:sz w:val="18"/>
                <w:szCs w:val="18"/>
              </w:rPr>
              <w:t xml:space="preserve">ValidMind. (2026, January 9). When Accuracy Fails. ValidMind Blog.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Mehta (CLEAR Framework)
arXiv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Beyond Accuracy: A Multi-Dimensional Framework for Evaluating Enterprise Agentic AI Systems</w:t>
            </w:r>
          </w:p>
          <w:p>
            <w:pPr>
              <w:spacing w:after="40" w:before="40"/>
            </w:pPr>
            <w:r>
              <w:rPr>
                <w:rFonts w:ascii="Arial" w:cs="Arial" w:eastAsia="Arial" w:hAnsi="Arial"/>
                <w:sz w:val="20"/>
                <w:szCs w:val="20"/>
              </w:rPr>
              <w:t xml:space="preserve">Source for the 37% lab-to-production gap (citing Liu et al. 2024 AWS multi-agent research). What this supports: staged rollout requirement and production monitoring thresholds set below evaluation pass marks (Sections 6 and Appendix A). Important: the 37% figure is cited from Liu et al. 2024 — not the CLEAR paper’s own empirical finding. When citing to auditors: ‘37% lab-to-production gap, cited in Mehta (2025) arXiv:2511.14136, originally from Liu et al. (2024) AWS multi-agent systems research.’ Verified: arXiv abstract confirmed.</w:t>
            </w:r>
          </w:p>
          <w:p>
            <w:pPr>
              <w:spacing w:after="20" w:before="40"/>
            </w:pPr>
            <w:r>
              <w:rPr>
                <w:rFonts w:ascii="Arial" w:cs="Arial" w:eastAsia="Arial" w:hAnsi="Arial"/>
                <w:color w:val="2E74B5"/>
                <w:sz w:val="18"/>
                <w:szCs w:val="18"/>
              </w:rPr>
              <w:t xml:space="preserve">https://arxiv.org/abs/2511.14136</w:t>
            </w:r>
          </w:p>
          <w:p>
            <w:pPr>
              <w:spacing w:after="60" w:before="20"/>
            </w:pPr>
            <w:r>
              <w:rPr>
                <w:rFonts w:ascii="Arial" w:cs="Arial" w:eastAsia="Arial" w:hAnsi="Arial"/>
                <w:i/>
                <w:iCs/>
                <w:color w:val="444444"/>
                <w:sz w:val="18"/>
                <w:szCs w:val="18"/>
              </w:rPr>
              <w:t xml:space="preserve">Mehta, S. (2025). Beyond Accuracy. arXiv:2511.14136.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Gartner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Use These Metrics for AI Chatbot and IVR Performance</w:t>
            </w:r>
          </w:p>
          <w:p>
            <w:pPr>
              <w:spacing w:after="40" w:before="40"/>
            </w:pPr>
            <w:r>
              <w:rPr>
                <w:rFonts w:ascii="Arial" w:cs="Arial" w:eastAsia="Arial" w:hAnsi="Arial"/>
                <w:sz w:val="20"/>
                <w:szCs w:val="20"/>
              </w:rPr>
              <w:t xml:space="preserve">Source for enterprise chatbot task completion benchmarks (75–85% general, 85–95% high-stakes) used to anchor Layer 3 Task Completion thresholds in Appendix A. Note: primary Gartner report requires subscription. Figures corroborated across multiple secondary sources.</w:t>
            </w:r>
          </w:p>
          <w:p>
            <w:pPr>
              <w:spacing w:after="20" w:before="40"/>
            </w:pPr>
            <w:r>
              <w:rPr>
                <w:rFonts w:ascii="Arial" w:cs="Arial" w:eastAsia="Arial" w:hAnsi="Arial"/>
                <w:color w:val="2E74B5"/>
                <w:sz w:val="18"/>
                <w:szCs w:val="18"/>
              </w:rPr>
              <w:t xml:space="preserve">https://www.gartner.com/en/documents/6778234</w:t>
            </w:r>
          </w:p>
          <w:p>
            <w:pPr>
              <w:spacing w:after="60" w:before="20"/>
            </w:pPr>
            <w:r>
              <w:rPr>
                <w:rFonts w:ascii="Arial" w:cs="Arial" w:eastAsia="Arial" w:hAnsi="Arial"/>
                <w:i/>
                <w:iCs/>
                <w:color w:val="444444"/>
                <w:sz w:val="18"/>
                <w:szCs w:val="18"/>
              </w:rPr>
              <w:t xml:space="preserve">Gartner. (2025). Use These Metrics for AI Chatbot and IVR Performance. Document G00778234.</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Appendix A:  Thresholds, Weighted Scorecards, and Behavioral Anchors</w:t>
            </w:r>
          </w:p>
        </w:tc>
      </w:tr>
    </w:tbl>
    <w:p>
      <w:pPr>
        <w:spacing w:after="80" w:before="0"/>
      </w:pPr>
    </w:p>
    <w:p>
      <w:pPr>
        <w:spacing w:after="60" w:before="80"/>
        <w:jc w:val="left"/>
      </w:pPr>
      <w:r>
        <w:rPr>
          <w:rFonts w:ascii="Arial" w:cs="Arial" w:eastAsia="Arial" w:hAnsi="Arial"/>
          <w:b w:val="false"/>
          <w:bCs w:val="false"/>
          <w:i w:val="false"/>
          <w:iCs w:val="false"/>
          <w:color w:val="000000"/>
          <w:sz w:val="24"/>
          <w:szCs w:val="24"/>
        </w:rPr>
        <w:t xml:space="preserve">The rubric below covers two distinct areas: Query Quality (QQ) and Enterprise Fit (EF). Evaluation frameworks that only cover the first miss the critical compliance and policy risks measured by the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Query Quality (QQ)</w:t>
            </w:r>
          </w:p>
          <w:p>
            <w:pPr>
              <w:spacing w:after="40" w:before="40"/>
            </w:pPr>
            <w:r>
              <w:rPr>
                <w:rFonts w:ascii="Arial" w:cs="Arial" w:eastAsia="Arial" w:hAnsi="Arial"/>
                <w:color w:val="D9E1F2"/>
                <w:sz w:val="20"/>
                <w:szCs w:val="20"/>
              </w:rPr>
              <w:t xml:space="preserve">Is the SQL and result set correct?</w:t>
            </w:r>
          </w:p>
          <w:p>
            <w:pPr>
              <w:spacing w:after="40" w:before="40"/>
            </w:pPr>
            <w:r>
              <w:rPr>
                <w:rFonts w:ascii="Arial" w:cs="Arial" w:eastAsia="Arial" w:hAnsi="Arial"/>
                <w:color w:val="FFFFFF"/>
                <w:sz w:val="18"/>
                <w:szCs w:val="18"/>
              </w:rPr>
              <w:t xml:space="preserve">SQL Correctness  ·  Result-Set Completeness  ·  Data Value Accuracy  ·  Task Completion  ·  Result Usefulness  ·  Clarity &amp; Interpretability</w:t>
            </w:r>
          </w:p>
        </w:tc>
        <w:tc>
          <w:tcPr>
            <w:tcW w:type="dxa" w:w="4680"/>
            <w:tcBorders>
              <w:top w:val="single" w:color="CCCCCC" w:sz="4"/>
              <w:left w:val="single" w:color="CCCCCC" w:sz="4"/>
              <w:bottom w:val="single" w:color="CCCCCC" w:sz="4"/>
              <w:right w:val="single" w:color="CCCCCC" w:sz="4"/>
            </w:tcBorders>
            <w:shd w:fill="2E74B5"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Enterprise Fit (EF)</w:t>
            </w:r>
          </w:p>
          <w:p>
            <w:pPr>
              <w:spacing w:after="40" w:before="40"/>
            </w:pPr>
            <w:r>
              <w:rPr>
                <w:rFonts w:ascii="Arial" w:cs="Arial" w:eastAsia="Arial" w:hAnsi="Arial"/>
                <w:color w:val="D9E1F2"/>
                <w:sz w:val="20"/>
                <w:szCs w:val="20"/>
              </w:rPr>
              <w:t xml:space="preserve">Is it safe and appropriate for our organisation?</w:t>
            </w:r>
          </w:p>
          <w:p>
            <w:pPr>
              <w:spacing w:after="40" w:before="40"/>
            </w:pPr>
            <w:r>
              <w:rPr>
                <w:rFonts w:ascii="Arial" w:cs="Arial" w:eastAsia="Arial" w:hAnsi="Arial"/>
                <w:color w:val="FFFFFF"/>
                <w:sz w:val="18"/>
                <w:szCs w:val="18"/>
              </w:rPr>
              <w:t xml:space="preserve">Policy &amp; Compliance  ·  Appropriate Refusal / Boundary Handling</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Not every dimension is evaluated by every evaluator. Dimensions are divided between evaluation layers to ensure responses are judged at the correct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00"/>
        <w:gridCol w:w="276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Area</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3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What It Measures</w:t>
            </w:r>
          </w:p>
        </w:tc>
        <w:tc>
          <w:tcPr>
            <w:tcW w:type="dxa" w:w="2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Who Scores</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Correctness</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Genie generate logically correct SQL for the question asked?</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SME</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Result-Set Completeness</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the result set return all expected rows with no silent omissions?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SME</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Data Value Accuracy</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Are the numbers and values in the result set correct?</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SME</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EF</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&amp; Compliance</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Does the response respect org policies, data access rules, and legal constraints?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Compliance reviewer (Pass/Fail gate)</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Task Completion</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Genie answer the user’s actual question?</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 Business user</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 Usefulness</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Would the user act on this result at work?</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 Business user</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Clarity &amp; Interpretability</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Was the result easy to understand for a non-technical user?</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 Business user</w:t>
            </w:r>
          </w:p>
        </w:tc>
      </w:tr>
    </w:tbl>
    <w:p>
      <w:pPr>
        <w:spacing w:after="80" w:before="0"/>
      </w:pPr>
    </w:p>
    <w:p>
      <w:pPr>
        <w:pStyle w:val="Heading2"/>
        <w:spacing w:after="100" w:before="200"/>
      </w:pPr>
      <w:r>
        <w:rPr>
          <w:rFonts w:ascii="Arial" w:cs="Arial" w:eastAsia="Arial" w:hAnsi="Arial"/>
          <w:b/>
          <w:bCs/>
          <w:color w:val="2E74B5"/>
          <w:sz w:val="28"/>
          <w:szCs w:val="28"/>
        </w:rPr>
        <w:t xml:space="preserve">A.1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Risk Type</w:t>
            </w:r>
          </w:p>
        </w:tc>
      </w:tr>
      <w:tr>
        <w:tc>
          <w:tcPr>
            <w:tcW w:type="dxa" w:w="9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Low risk / general informational tasks (e.g. trend summaries, general data exploration)</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Medium risk / domain-specific business tasks (e.g. portfolio summaries, customer segment analysis, database queries via chat mode)</w:t>
            </w:r>
          </w:p>
        </w:tc>
      </w:tr>
      <w:tr>
        <w:tc>
          <w:tcPr>
            <w:tcW w:type="dxa" w:w="9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High risk / sensitive or compliance-adjacent tasks (e.g. credit decisions, compliance reporting inputs, outputs used in agent mode analyses)</w:t>
            </w:r>
          </w:p>
        </w:tc>
      </w:tr>
    </w:tbl>
    <w:p>
      <w:pPr>
        <w:spacing w:after="80" w:before="0"/>
      </w:pPr>
    </w:p>
    <w:p>
      <w:pPr>
        <w:pStyle w:val="Heading2"/>
        <w:spacing w:after="100" w:before="200"/>
      </w:pPr>
      <w:r>
        <w:rPr>
          <w:rFonts w:ascii="Arial" w:cs="Arial" w:eastAsia="Arial" w:hAnsi="Arial"/>
          <w:b/>
          <w:bCs/>
          <w:color w:val="2E74B5"/>
          <w:sz w:val="28"/>
          <w:szCs w:val="28"/>
        </w:rPr>
        <w:t xml:space="preserve">A.2  Layer 1 Thresholds by Risk Tier</w:t>
      </w:r>
    </w:p>
    <w:p>
      <w:pPr>
        <w:spacing w:after="60" w:before="60"/>
        <w:jc w:val="left"/>
      </w:pPr>
      <w:r>
        <w:rPr>
          <w:rFonts w:ascii="Arial" w:cs="Arial" w:eastAsia="Arial" w:hAnsi="Arial"/>
          <w:b w:val="false"/>
          <w:bCs w:val="false"/>
          <w:i w:val="false"/>
          <w:iCs w:val="false"/>
          <w:color w:val="000000"/>
          <w:sz w:val="24"/>
          <w:szCs w:val="24"/>
        </w:rPr>
        <w:t xml:space="preserve">These thresholds determine whether a space advances from Layer 1 to Layer 2. Each threshold is the minimum percentage of questions that must score Good. The basis for each threshold is explicitly labelled.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900"/>
        <w:gridCol w:w="22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Benchmark category</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Basis</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Low Risk</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Medium Risk</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High Risk</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Overall pass rate</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≥75% YES</w:t>
            </w:r>
          </w:p>
          <w:p>
            <w:pPr>
              <w:spacing w:after="40" w:before="40"/>
            </w:pPr>
            <w:r>
              <w:rPr>
                <w:rFonts w:ascii="Arial" w:cs="Arial" w:eastAsia="Arial" w:hAnsi="Arial"/>
                <w:color w:val="000000"/>
                <w:sz w:val="20"/>
                <w:szCs w:val="20"/>
              </w:rPr>
              <w:t xml:space="preserve">Soft floor. General data exploration at low-risk tier is a trust issue, not a safety issue.</w:t>
            </w:r>
          </w:p>
        </w:tc>
        <w:tc>
          <w:tcPr>
            <w:tcW w:type="dxa" w:w="19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YES</w:t>
            </w:r>
          </w:p>
          <w:p>
            <w:pPr>
              <w:spacing w:after="40" w:before="40"/>
            </w:pPr>
            <w:r>
              <w:rPr>
                <w:rFonts w:ascii="Arial" w:cs="Arial" w:eastAsia="Arial" w:hAnsi="Arial"/>
                <w:color w:val="000000"/>
                <w:sz w:val="20"/>
                <w:szCs w:val="20"/>
              </w:rPr>
              <w:t xml:space="preserve">Hard disqualifier. SQL errors at medium-risk can produce wrong business decisions.</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≥90% YES</w:t>
            </w:r>
          </w:p>
          <w:p>
            <w:pPr>
              <w:spacing w:after="40" w:before="40"/>
            </w:pPr>
            <w:r>
              <w:rPr>
                <w:rFonts w:ascii="Arial" w:cs="Arial" w:eastAsia="Arial" w:hAnsi="Arial"/>
                <w:color w:val="000000"/>
                <w:sz w:val="20"/>
                <w:szCs w:val="20"/>
              </w:rPr>
              <w:t xml:space="preserve">Hard disqualifier. An incorrect compliance or credit query can create regulatory exposure if undetected.</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State-of-art NL2SQL models achieve 66–88%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SQL errors.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answers required (100% of questions)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of benchmark questions must have a SQL answer before Layer 1 is run. Hard floor at all tiers.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floor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floor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This organisation’s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 either requires remediation.</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Boundary / refusal questions (Genie should decline or clarify)</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handled correctly. Hard floor at all tiers.</w:t>
            </w:r>
          </w:p>
        </w:tc>
        <w:tc>
          <w:tcPr>
            <w:tcW w:type="dxa" w:w="19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ISACA (2024) establishes that boundary violations are non-negotiable regardless of other scores. A space that confidently answers out-of-scope questions creates compliance exposure that cannot be offset by high scores on in-scope questions. Per Databricks best practices, spaces should include boundary and out-of-scope questions in benchmark sets to verify correct refusal and clarification behavior.</w:t>
            </w:r>
          </w:p>
        </w:tc>
      </w:tr>
    </w:tbl>
    <w:p>
      <w:pPr>
        <w:spacing w:after="80" w:before="0"/>
      </w:pPr>
    </w:p>
    <w:p>
      <w:pPr>
        <w:spacing w:after="20" w:before="60"/>
        <w:jc w:val="left"/>
      </w:pPr>
      <w:r>
        <w:rPr>
          <w:rFonts w:ascii="Arial" w:cs="Arial" w:eastAsia="Arial" w:hAnsi="Arial"/>
          <w:b/>
          <w:bCs/>
          <w:i w:val="false"/>
          <w:iCs w:val="false"/>
          <w:color w:val="000000"/>
          <w:sz w:val="24"/>
          <w:szCs w:val="24"/>
        </w:rPr>
        <w:t xml:space="preserve">Basis Key:</w:t>
      </w:r>
    </w:p>
    <w:p>
      <w:pPr>
        <w:spacing w:after="80" w:before="20"/>
        <w:jc w:val="left"/>
      </w:pPr>
      <w:r>
        <w:rPr>
          <w:rFonts w:ascii="Arial" w:cs="Arial" w:eastAsia="Arial" w:hAnsi="Arial"/>
          <w:b w:val="false"/>
          <w:bCs w:val="false"/>
          <w:i w:val="false"/>
          <w:iCs w:val="false"/>
          <w:color w:val="000000"/>
          <w:sz w:val="24"/>
          <w:szCs w:val="24"/>
        </w:rPr>
        <w:t xml:space="preserve">BENCHMARK = threshold derived from published industry research (NeurIPS, Gartner, ISACA, ValidMind). INTERNAL STANDARD = threshold recommended based on logical framework extension — no direct industry benchmark exists. These values were reviewed and formally adopted by ODAE before use.</w:t>
      </w:r>
    </w:p>
    <w:p>
      <w:pPr>
        <w:pStyle w:val="Heading2"/>
        <w:spacing w:after="100" w:before="200"/>
      </w:pPr>
      <w:r>
        <w:rPr>
          <w:rFonts w:ascii="Arial" w:cs="Arial" w:eastAsia="Arial" w:hAnsi="Arial"/>
          <w:b/>
          <w:bCs/>
          <w:color w:val="2E74B5"/>
          <w:sz w:val="28"/>
          <w:szCs w:val="28"/>
        </w:rPr>
        <w:t xml:space="preserve">A.3  Layer 2 Thresholds by Risk Tier</w:t>
      </w:r>
    </w:p>
    <w:p>
      <w:pPr>
        <w:spacing w:after="60" w:before="60"/>
        <w:jc w:val="left"/>
      </w:pPr>
      <w:r>
        <w:rPr>
          <w:rFonts w:ascii="Arial" w:cs="Arial" w:eastAsia="Arial" w:hAnsi="Arial"/>
          <w:b w:val="false"/>
          <w:bCs w:val="false"/>
          <w:i w:val="false"/>
          <w:iCs w:val="false"/>
          <w:color w:val="000000"/>
          <w:sz w:val="24"/>
          <w:szCs w:val="24"/>
        </w:rPr>
        <w:t xml:space="preserve">These thresholds determine whether a space advances from Layer 2 to Layer 3. Each threshold is the percentage of scored responses that must reach the minimum score on the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100"/>
        <w:gridCol w:w="22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Basis</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Low Risk</w:t>
            </w:r>
          </w:p>
        </w:tc>
        <w:tc>
          <w:tcPr>
            <w:tcW w:type="dxa" w:w="2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Medium Risk</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High Risk</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Correctness
(avg 1–5)</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≥3.5</w:t>
            </w:r>
          </w:p>
          <w:p>
            <w:pPr>
              <w:spacing w:after="40" w:before="40"/>
            </w:pPr>
            <w:r>
              <w:rPr>
                <w:rFonts w:ascii="Arial" w:cs="Arial" w:eastAsia="Arial" w:hAnsi="Arial"/>
                <w:color w:val="000000"/>
                <w:sz w:val="20"/>
                <w:szCs w:val="20"/>
              </w:rPr>
              <w:t xml:space="preserve">≥75% score 3+</w:t>
            </w:r>
            <w:r>
              <w:rPr>
                <w:rFonts w:ascii="Arial" w:cs="Arial" w:eastAsia="Arial" w:hAnsi="Arial"/>
                <w:color w:val="000000"/>
                <w:sz w:val="20"/>
                <w:szCs w:val="20"/>
              </w:rPr>
              <w:t xml:space="preserve">
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≥4.0</w:t>
            </w:r>
          </w:p>
          <w:p>
            <w:pPr>
              <w:spacing w:after="40" w:before="40"/>
            </w:pPr>
            <w:r>
              <w:rPr>
                <w:rFonts w:ascii="Arial" w:cs="Arial" w:eastAsia="Arial" w:hAnsi="Arial"/>
                <w:color w:val="000000"/>
                <w:sz w:val="20"/>
                <w:szCs w:val="20"/>
              </w:rPr>
              <w:t xml:space="preserve">≥85% score 4+</w:t>
            </w:r>
            <w:r>
              <w:rPr>
                <w:rFonts w:ascii="Arial" w:cs="Arial" w:eastAsia="Arial" w:hAnsi="Arial"/>
                <w:color w:val="000000"/>
                <w:sz w:val="20"/>
                <w:szCs w:val="20"/>
              </w:rPr>
              <w:t xml:space="preserve">
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≥4.2</w:t>
            </w:r>
          </w:p>
          <w:p>
            <w:pPr>
              <w:spacing w:after="40" w:before="40"/>
            </w:pPr>
            <w:r>
              <w:rPr>
                <w:rFonts w:ascii="Arial" w:cs="Arial" w:eastAsia="Arial" w:hAnsi="Arial"/>
                <w:color w:val="000000"/>
                <w:sz w:val="20"/>
                <w:szCs w:val="20"/>
              </w:rPr>
              <w:t xml:space="preserve">≥90% score 4+</w:t>
            </w:r>
            <w:r>
              <w:rPr>
                <w:rFonts w:ascii="Arial" w:cs="Arial" w:eastAsia="Arial" w:hAnsi="Arial"/>
                <w:color w:val="000000"/>
                <w:sz w:val="20"/>
                <w:szCs w:val="20"/>
              </w:rPr>
              <w:t xml:space="preserve">
No score 1 or 2 responses</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No published benchmark exists for SME SQL correctness scoring rates. An average of 4.0 means the typical response is logically correct with only minor issues — acceptable for medium-risk with Layer 3 validation to follow. An average of 3.5 (only partially correct on average) is the minimum acceptable for low-risk, where human review before action catches errors.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Result-Set
Completeness
(avg 1–5)</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≥3.5</w:t>
            </w:r>
          </w:p>
          <w:p>
            <w:pPr>
              <w:spacing w:after="40" w:before="40"/>
            </w:pPr>
            <w:r>
              <w:rPr>
                <w:rFonts w:ascii="Arial" w:cs="Arial" w:eastAsia="Arial" w:hAnsi="Arial"/>
                <w:color w:val="000000"/>
                <w:sz w:val="20"/>
                <w:szCs w:val="20"/>
              </w:rPr>
              <w:t xml:space="preserve">≥70% score 3+</w:t>
            </w:r>
            <w:r>
              <w:rPr>
                <w:rFonts w:ascii="Arial" w:cs="Arial" w:eastAsia="Arial" w:hAnsi="Arial"/>
                <w:color w:val="000000"/>
                <w:sz w:val="20"/>
                <w:szCs w:val="20"/>
              </w:rPr>
              <w:t xml:space="preserve">
Soft floor</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≥4.0</w:t>
            </w:r>
          </w:p>
          <w:p>
            <w:pPr>
              <w:spacing w:after="40" w:before="40"/>
            </w:pPr>
            <w:r>
              <w:rPr>
                <w:rFonts w:ascii="Arial" w:cs="Arial" w:eastAsia="Arial" w:hAnsi="Arial"/>
                <w:color w:val="000000"/>
                <w:sz w:val="20"/>
                <w:szCs w:val="20"/>
              </w:rPr>
              <w:t xml:space="preserve">≥80% score 4+</w:t>
            </w:r>
            <w:r>
              <w:rPr>
                <w:rFonts w:ascii="Arial" w:cs="Arial" w:eastAsia="Arial" w:hAnsi="Arial"/>
                <w:color w:val="000000"/>
                <w:sz w:val="20"/>
                <w:szCs w:val="20"/>
              </w:rPr>
              <w:t xml:space="preserve">
Hard disqualifier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≥4.2</w:t>
            </w:r>
          </w:p>
          <w:p>
            <w:pPr>
              <w:spacing w:after="40" w:before="40"/>
            </w:pPr>
            <w:r>
              <w:rPr>
                <w:rFonts w:ascii="Arial" w:cs="Arial" w:eastAsia="Arial" w:hAnsi="Arial"/>
                <w:color w:val="000000"/>
                <w:sz w:val="20"/>
                <w:szCs w:val="20"/>
              </w:rPr>
              <w:t xml:space="preserve">≥85% score 4+</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Result-set completeness is a NL2SQL-specific failure mode — silently missing rows that appear correct in aggregate. Thresholds are slightly lower than SQL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Data Value
Accuracy
(avg 1–5)</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≥3.5</w:t>
            </w:r>
          </w:p>
          <w:p>
            <w:pPr>
              <w:spacing w:after="40" w:before="40"/>
            </w:pPr>
            <w:r>
              <w:rPr>
                <w:rFonts w:ascii="Arial" w:cs="Arial" w:eastAsia="Arial" w:hAnsi="Arial"/>
                <w:color w:val="000000"/>
                <w:sz w:val="20"/>
                <w:szCs w:val="20"/>
              </w:rPr>
              <w:t xml:space="preserve">≥75% score 3+</w:t>
            </w:r>
            <w:r>
              <w:rPr>
                <w:rFonts w:ascii="Arial" w:cs="Arial" w:eastAsia="Arial" w:hAnsi="Arial"/>
                <w:color w:val="000000"/>
                <w:sz w:val="20"/>
                <w:szCs w:val="20"/>
              </w:rPr>
              <w:t xml:space="preserve">
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≥4.0</w:t>
            </w:r>
          </w:p>
          <w:p>
            <w:pPr>
              <w:spacing w:after="40" w:before="40"/>
            </w:pPr>
            <w:r>
              <w:rPr>
                <w:rFonts w:ascii="Arial" w:cs="Arial" w:eastAsia="Arial" w:hAnsi="Arial"/>
                <w:color w:val="000000"/>
                <w:sz w:val="20"/>
                <w:szCs w:val="20"/>
              </w:rPr>
              <w:t xml:space="preserve">≥85% score 4+</w:t>
            </w:r>
            <w:r>
              <w:rPr>
                <w:rFonts w:ascii="Arial" w:cs="Arial" w:eastAsia="Arial" w:hAnsi="Arial"/>
                <w:color w:val="000000"/>
                <w:sz w:val="20"/>
                <w:szCs w:val="20"/>
              </w:rPr>
              <w:t xml:space="preserve">
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≥4.3</w:t>
            </w:r>
          </w:p>
          <w:p>
            <w:pPr>
              <w:spacing w:after="40" w:before="40"/>
            </w:pPr>
            <w:r>
              <w:rPr>
                <w:rFonts w:ascii="Arial" w:cs="Arial" w:eastAsia="Arial" w:hAnsi="Arial"/>
                <w:color w:val="000000"/>
                <w:sz w:val="20"/>
                <w:szCs w:val="20"/>
              </w:rPr>
              <w:t xml:space="preserve">≥90% score 4+</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Data value accuracy measures whether the numbers Genie returns are correct. Highest-consequence dimension for financial and credit spaces. High-risk threshold of 4.3 reflects that even minor value errors in regulatory capital or participation data can create material compliance exposure.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&amp;
Compliance
(pass/fail gate)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Not required at Low risk. Flag concerns for review.</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Zero FAIL responses. Single FAIL = hard disqualifier.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Zero FAIL responses. Single FAIL =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ISACA AI Risk Tolerance Framework (2024) and ValidMind Risk Tiering (2026) both establish that compliance violations are categorically non-negotiable and cannot be averaged against other metrics. Must be scored exclusively by compliance or legal reviewers — not general testers.</w:t>
            </w:r>
          </w:p>
        </w:tc>
      </w:tr>
    </w:tbl>
    <w:p>
      <w:pPr>
        <w:spacing w:after="80" w:before="0"/>
      </w:pPr>
    </w:p>
    <w:p>
      <w:pPr>
        <w:spacing w:after="20" w:before="60"/>
        <w:jc w:val="left"/>
      </w:pPr>
      <w:r>
        <w:rPr>
          <w:rFonts w:ascii="Arial" w:cs="Arial" w:eastAsia="Arial" w:hAnsi="Arial"/>
          <w:b/>
          <w:bCs/>
          <w:i w:val="false"/>
          <w:iCs w:val="false"/>
          <w:color w:val="000000"/>
          <w:sz w:val="24"/>
          <w:szCs w:val="24"/>
        </w:rPr>
        <w:t xml:space="preserve">Basis Key:</w:t>
      </w:r>
    </w:p>
    <w:p>
      <w:pPr>
        <w:spacing w:after="80" w:before="20"/>
        <w:jc w:val="left"/>
      </w:pPr>
      <w:r>
        <w:rPr>
          <w:rFonts w:ascii="Arial" w:cs="Arial" w:eastAsia="Arial" w:hAnsi="Arial"/>
          <w:b w:val="false"/>
          <w:bCs w:val="false"/>
          <w:i w:val="false"/>
          <w:iCs w:val="false"/>
          <w:color w:val="000000"/>
          <w:sz w:val="24"/>
          <w:szCs w:val="24"/>
        </w:rPr>
        <w:t xml:space="preserve">BENCHMARK = threshold derived from published industry research.  INTERNAL STANDARD = threshold recommended based on logical framework extension. These values were reviewed and formally adopted by ODAE before use.</w:t>
      </w:r>
    </w:p>
    <w:p>
      <w:pPr>
        <w:pStyle w:val="Heading2"/>
        <w:spacing w:after="100" w:before="200"/>
      </w:pPr>
      <w:r>
        <w:rPr>
          <w:rFonts w:ascii="Arial" w:cs="Arial" w:eastAsia="Arial" w:hAnsi="Arial"/>
          <w:b/>
          <w:bCs/>
          <w:color w:val="2E74B5"/>
          <w:sz w:val="28"/>
          <w:szCs w:val="28"/>
        </w:rPr>
        <w:t xml:space="preserve">A.4  Layer 3 Thresholds by Risk Tier</w:t>
      </w:r>
    </w:p>
    <w:p>
      <w:pPr>
        <w:spacing w:after="60" w:before="60"/>
        <w:jc w:val="left"/>
      </w:pPr>
      <w:r>
        <w:rPr>
          <w:rFonts w:ascii="Arial" w:cs="Arial" w:eastAsia="Arial" w:hAnsi="Arial"/>
          <w:b w:val="false"/>
          <w:bCs w:val="false"/>
          <w:i w:val="false"/>
          <w:iCs w:val="false"/>
          <w:color w:val="000000"/>
          <w:sz w:val="24"/>
          <w:szCs w:val="24"/>
        </w:rPr>
        <w:t xml:space="preserve">These thresholds apply to the end-user experience dimensions. Each threshold is the percentage of tester interactions that must reach a minimum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100"/>
        <w:gridCol w:w="22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Basis</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Low Risk</w:t>
            </w:r>
          </w:p>
        </w:tc>
        <w:tc>
          <w:tcPr>
            <w:tcW w:type="dxa" w:w="2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Medium Risk</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High Risk</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Task Completion
(Yes / Partial / No)</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≥75% Yes or Partial</w:t>
            </w:r>
          </w:p>
          <w:p>
            <w:pPr>
              <w:spacing w:after="40" w:before="40"/>
            </w:pPr>
            <w:r>
              <w:rPr>
                <w:rFonts w:ascii="Arial" w:cs="Arial" w:eastAsia="Arial" w:hAnsi="Arial"/>
                <w:color w:val="000000"/>
                <w:sz w:val="20"/>
                <w:szCs w:val="20"/>
              </w:rPr>
              <w:t xml:space="preserve">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Yes or Partial</w:t>
            </w:r>
          </w:p>
          <w:p>
            <w:pPr>
              <w:spacing w:after="40" w:before="40"/>
            </w:pPr>
            <w:r>
              <w:rPr>
                <w:rFonts w:ascii="Arial" w:cs="Arial" w:eastAsia="Arial" w:hAnsi="Arial"/>
                <w:color w:val="000000"/>
                <w:sz w:val="20"/>
                <w:szCs w:val="20"/>
              </w:rPr>
              <w:t xml:space="preserve">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≥90% Yes only</w:t>
            </w:r>
          </w:p>
          <w:p>
            <w:pPr>
              <w:spacing w:after="40" w:before="40"/>
            </w:pPr>
            <w:r>
              <w:rPr>
                <w:rFonts w:ascii="Arial" w:cs="Arial" w:eastAsia="Arial" w:hAnsi="Arial"/>
                <w:color w:val="000000"/>
                <w:sz w:val="20"/>
                <w:szCs w:val="20"/>
              </w:rPr>
              <w:t xml:space="preserve">Partial does not pass at High risk</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Gartner (2025) reports general enterprise chatbot task completion targets of 75–85%, with high-stakes implementations targeting 85–95%. Thresholds adapted directly from those benchmarks. The High-risk requirement that Partial does not pass reflects that a partially answered compliance or credit query may be more dangerous than no answer — it creates a false sense of completeness.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 Usefulness
(Yes / With Edits / No)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≥70% Yes or With Edits</w:t>
            </w:r>
          </w:p>
          <w:p>
            <w:pPr>
              <w:spacing w:after="40" w:before="40"/>
            </w:pPr>
            <w:r>
              <w:rPr>
                <w:rFonts w:ascii="Arial" w:cs="Arial" w:eastAsia="Arial" w:hAnsi="Arial"/>
                <w:color w:val="000000"/>
                <w:sz w:val="20"/>
                <w:szCs w:val="20"/>
              </w:rPr>
              <w:t xml:space="preserve">Soft floor</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≥80% Yes or With Edits</w:t>
            </w:r>
          </w:p>
          <w:p>
            <w:pPr>
              <w:spacing w:after="40" w:before="40"/>
            </w:pPr>
            <w:r>
              <w:rPr>
                <w:rFonts w:ascii="Arial" w:cs="Arial" w:eastAsia="Arial" w:hAnsi="Arial"/>
                <w:color w:val="000000"/>
                <w:sz w:val="20"/>
                <w:szCs w:val="20"/>
              </w:rPr>
              <w:t xml:space="preserve">Soft floor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Yes only</w:t>
            </w:r>
          </w:p>
          <w:p>
            <w:pPr>
              <w:spacing w:after="40" w:before="40"/>
            </w:pPr>
            <w:r>
              <w:rPr>
                <w:rFonts w:ascii="Arial" w:cs="Arial" w:eastAsia="Arial" w:hAnsi="Arial"/>
                <w:color w:val="000000"/>
                <w:sz w:val="20"/>
                <w:szCs w:val="20"/>
              </w:rPr>
              <w:t xml:space="preserve">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No published benchmark for result usefulness ratings specifically. High-risk requires Yes — not With Edits — because users editing results before acting may introduce errors in compliance-adjacent contexts.</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Clarity &amp;
Interpretability
(1–5 scale)</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≥75% score 3+</w:t>
            </w:r>
          </w:p>
          <w:p>
            <w:pPr>
              <w:spacing w:after="40" w:before="40"/>
            </w:pPr>
            <w:r>
              <w:rPr>
                <w:rFonts w:ascii="Arial" w:cs="Arial" w:eastAsia="Arial" w:hAnsi="Arial"/>
                <w:color w:val="000000"/>
                <w:sz w:val="20"/>
                <w:szCs w:val="20"/>
              </w:rPr>
              <w:t xml:space="preserve">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≥80% score 3+</w:t>
            </w:r>
          </w:p>
          <w:p>
            <w:pPr>
              <w:spacing w:after="40" w:before="40"/>
            </w:pPr>
            <w:r>
              <w:rPr>
                <w:rFonts w:ascii="Arial" w:cs="Arial" w:eastAsia="Arial" w:hAnsi="Arial"/>
                <w:color w:val="000000"/>
                <w:sz w:val="20"/>
                <w:szCs w:val="20"/>
              </w:rPr>
              <w:t xml:space="preserve">Soft floor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score 4+</w:t>
            </w:r>
          </w:p>
          <w:p>
            <w:pPr>
              <w:spacing w:after="40" w:before="40"/>
            </w:pPr>
            <w:r>
              <w:rPr>
                <w:rFonts w:ascii="Arial" w:cs="Arial" w:eastAsia="Arial" w:hAnsi="Arial"/>
                <w:color w:val="000000"/>
                <w:sz w:val="20"/>
                <w:szCs w:val="20"/>
              </w:rPr>
              <w:t xml:space="preserve">Soft floor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Clarity failures in NL2SQL are distinct from accuracy failures — a technically correct result set may be incomprehensible to a non-technical user. Thresholds are soft at all tiers because clarity issues are typically addressable through metadata improvements: better column descriptions, cleaner view naming, and synonym additions in the Genie Space knowledge store.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Tester task
completion rate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≥80% completed all tasks</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≥85% completed all tasks</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≥90% completed all tasks</w:t>
            </w:r>
          </w:p>
          <w:p>
            <w:pPr>
              <w:spacing w:after="40" w:before="40"/>
            </w:pPr>
            <w:r>
              <w:rPr>
                <w:rFonts w:ascii="Arial" w:cs="Arial" w:eastAsia="Arial" w:hAnsi="Arial"/>
                <w:color w:val="000000"/>
                <w:sz w:val="20"/>
                <w:szCs w:val="20"/>
              </w:rPr>
              <w:t xml:space="preserve">If below threshold: pilot data is invalid — repeat with new tester group.</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If the tester completion rate falls below threshold, the Layer 3 data is insufficient to produce reliable aggregated scores and must be treated as invalid.</w:t>
            </w:r>
          </w:p>
        </w:tc>
      </w:tr>
    </w:tbl>
    <w:p>
      <w:pPr>
        <w:spacing w:after="80" w:before="0"/>
      </w:pPr>
    </w:p>
    <w:p>
      <w:pPr>
        <w:pStyle w:val="Heading2"/>
        <w:spacing w:after="100" w:before="200"/>
      </w:pPr>
      <w:r>
        <w:rPr>
          <w:rFonts w:ascii="Arial" w:cs="Arial" w:eastAsia="Arial" w:hAnsi="Arial"/>
          <w:b/>
          <w:bCs/>
          <w:color w:val="2E74B5"/>
          <w:sz w:val="28"/>
          <w:szCs w:val="28"/>
        </w:rPr>
        <w:t xml:space="preserve">A.5  Layer 2 and Layer 3 Dimension Priority</w:t>
      </w:r>
    </w:p>
    <w:p>
      <w:pPr>
        <w:spacing w:after="60" w:before="60"/>
        <w:jc w:val="left"/>
      </w:pPr>
      <w:r>
        <w:rPr>
          <w:rFonts w:ascii="Arial" w:cs="Arial" w:eastAsia="Arial" w:hAnsi="Arial"/>
          <w:b w:val="false"/>
          <w:bCs w:val="false"/>
          <w:i w:val="false"/>
          <w:iCs w:val="false"/>
          <w:color w:val="000000"/>
          <w:sz w:val="24"/>
          <w:szCs w:val="24"/>
        </w:rPr>
        <w:t xml:space="preserve">There is no composite score in this framework. Each dimension is evaluated independently against its threshold. The priorities below communicate the relative consequence of each failure mode and guide where to focus root-cause analysis and remediation when a space fails a threshold. They do not aggregate into a calculated total.</w:t>
      </w:r>
    </w:p>
    <w:p>
      <w:pPr>
        <w:spacing w:after="40" w:before="80"/>
        <w:jc w:val="left"/>
      </w:pPr>
      <w:r>
        <w:rPr>
          <w:rFonts w:ascii="Arial" w:cs="Arial" w:eastAsia="Arial" w:hAnsi="Arial"/>
          <w:b/>
          <w:bCs/>
          <w:i w:val="false"/>
          <w:iCs w:val="false"/>
          <w:color w:val="000000"/>
          <w:sz w:val="24"/>
          <w:szCs w:val="24"/>
        </w:rPr>
        <w:t xml:space="preserve">Layer 2 — SME Review Dimension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52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Area</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Priority</w:t>
            </w:r>
          </w:p>
        </w:tc>
        <w:tc>
          <w:tcPr>
            <w:tcW w:type="dxa" w:w="5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Why this priority</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Correctness</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Primary</w:t>
            </w:r>
          </w:p>
        </w:tc>
        <w:tc>
          <w:tcPr>
            <w:tcW w:type="dxa" w:w="5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Incorrect SQL is the defining NL2SQL failure mode. Errors from wrong joins, missing filters, or incorrect aggregations directly produce wrong result sets. This is the first dimension to investigate when a space fails Layer 2.</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Result-Set Completeness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Secondary</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Silently missing rows are the second most consequential NL2SQL failure. A result set that appears correct in aggregate but omits key rows can directly mislead a business decision without any visible signal to the user.</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Data Value Accuracy</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Tertiary</w:t>
            </w:r>
          </w:p>
        </w:tc>
        <w:tc>
          <w:tcPr>
            <w:tcW w:type="dxa" w:w="5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Measures whether the numbers and values in the result set are correct. High consequence at financial and compliance tiers where a value error may not be detectable without cross-referencing a known source.</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EF</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&amp; Compliance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Pass/fail gate — not ranked</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Not scored on the 1–5 scale. A single FAIL at Medium or High risk tier disqualifies the space regardless of all other dimension results. Must be reviewed by a compliance or legal reviewer, not a domain SME.</w:t>
            </w:r>
          </w:p>
        </w:tc>
      </w:tr>
    </w:tbl>
    <w:p>
      <w:pPr>
        <w:spacing w:after="80" w:before="0"/>
      </w:pPr>
    </w:p>
    <w:p>
      <w:pPr>
        <w:spacing w:after="40" w:before="80"/>
        <w:jc w:val="left"/>
      </w:pPr>
      <w:r>
        <w:rPr>
          <w:rFonts w:ascii="Arial" w:cs="Arial" w:eastAsia="Arial" w:hAnsi="Arial"/>
          <w:b/>
          <w:bCs/>
          <w:i w:val="false"/>
          <w:iCs w:val="false"/>
          <w:color w:val="000000"/>
          <w:sz w:val="24"/>
          <w:szCs w:val="24"/>
        </w:rPr>
        <w:t xml:space="preserve">Layer 3 — Business User Pilot Dimension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52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Area</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Priority</w:t>
            </w:r>
          </w:p>
        </w:tc>
        <w:tc>
          <w:tcPr>
            <w:tcW w:type="dxa" w:w="5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Why this priority</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Task Completion</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Primary</w:t>
            </w:r>
          </w:p>
        </w:tc>
        <w:tc>
          <w:tcPr>
            <w:tcW w:type="dxa" w:w="5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Directly measures whether Genie answered the user’s actual question. The core purpose of Layer 3 is to confirm end-user utility. If task completion fails its threshold, the space is not ready for deployment regardless of other dimension results.</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 Usefulness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Secondary</w:t>
            </w:r>
          </w:p>
        </w:tc>
        <w:tc>
          <w:tcPr>
            <w:tcW w:type="dxa" w:w="5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Whether the user would act on the result at work. A technically correct result set that the user would not use still fails the end user. Focus remediation here if task completion passes but usefulness fails.</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Clarity &amp; Interpretability</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Tertiary</w:t>
            </w:r>
          </w:p>
        </w:tc>
        <w:tc>
          <w:tcPr>
            <w:tcW w:type="dxa" w:w="5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Whether the result was understandable to a non-technical user. Clarity failures are typically addressable through metadata improvements — better column descriptions, cleaner view naming, synonym additions. A clarity failure alone should not block deployment if task completion and usefulness pass their thresholds.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All dimensions must clear their individual thresholds independently. Dimension priority does not change the gate logic — a failure on a tertiary dimension disqualifies the space just as a failure on the primary dimension does. Priority communicates where to look first when diagnosing a failure, not which failures matter less.</w:t>
            </w:r>
          </w:p>
        </w:tc>
      </w:tr>
    </w:tbl>
    <w:p>
      <w:pPr>
        <w:spacing w:after="80" w:before="0"/>
      </w:pPr>
    </w:p>
    <w:p>
      <w:pPr>
        <w:pStyle w:val="Heading2"/>
        <w:spacing w:after="100" w:before="200"/>
      </w:pPr>
      <w:r>
        <w:rPr>
          <w:rFonts w:ascii="Arial" w:cs="Arial" w:eastAsia="Arial" w:hAnsi="Arial"/>
          <w:b/>
          <w:bCs/>
          <w:color w:val="2E74B5"/>
          <w:sz w:val="28"/>
          <w:szCs w:val="28"/>
        </w:rPr>
        <w:t xml:space="preserve">A.6  Behavioral Anchors: 1–5 Scale Definitions</w:t>
      </w:r>
    </w:p>
    <w:p>
      <w:pPr>
        <w:spacing w:after="60" w:before="60"/>
        <w:jc w:val="left"/>
      </w:pPr>
      <w:r>
        <w:rPr>
          <w:rFonts w:ascii="Arial" w:cs="Arial" w:eastAsia="Arial" w:hAnsi="Arial"/>
          <w:b w:val="false"/>
          <w:bCs w:val="false"/>
          <w:i w:val="false"/>
          <w:iCs w:val="false"/>
          <w:color w:val="000000"/>
          <w:sz w:val="24"/>
          <w:szCs w:val="24"/>
        </w:rPr>
        <w:t xml:space="preserve">Each score point is anchored to a specific observable behavior. Reviewers must have this card visible while scoring. Score from memory is not permitted.</w:t>
      </w:r>
    </w:p>
    <w:p>
      <w:pPr>
        <w:spacing w:after="40" w:before="80"/>
        <w:jc w:val="left"/>
      </w:pPr>
      <w:r>
        <w:rPr>
          <w:rFonts w:ascii="Arial" w:cs="Arial" w:eastAsia="Arial" w:hAnsi="Arial"/>
          <w:b/>
          <w:bCs/>
          <w:i w:val="false"/>
          <w:iCs w:val="false"/>
          <w:color w:val="000000"/>
          <w:sz w:val="24"/>
          <w:szCs w:val="24"/>
        </w:rPr>
        <w:t xml:space="preserve">Layer 2 Anchors — SME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Score</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SQL Correctness</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Result-Set Completeness</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Data Value Accuracy</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 — Excellent</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is logically correct in every respect. Would return exactly the right data in all foreseeable cases.</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expected rows are present. No unexpected rows. The result set is exactly what the question called for.</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values are correct. Matches reference data exactly with no discrepancies.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4 — Good</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is logically correct with one minor issue that does not affect the result set.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key rows are present. One or two minor rows may be missing but the business conclusion is correct.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Values are correct with one minor discrepancy that does not change the business conclusion.</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 — Partial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has a meaningful error — missing filter, wrong aggregation, or join condition that could produce incorrect results in edge cases — but the main intent is recognizable.</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set captures the main answer but is missing a meaningful subset of rows. A user relying on it would need to investigate further.</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One or more values are noticeably incorrect but the overall result is directionally useful.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 — Poor</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addresses a related but different question, or has a fundamental error that would produce wrong results systematically.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set is substantially incomplete or contaminated. A user acting on it would likely reach a wrong conclusion.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Multiple values are wrong. The result cannot be used without significant correction.</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 — Fail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answers a completely different question, or would produce no results or dangerous results if run against live data.</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set is entirely wrong — wrong rows, wrong counts, or empty when data should exist.</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Values are entirely wrong or absent. The result would actively mislead anyone using it.</w:t>
            </w:r>
          </w:p>
        </w:tc>
      </w:tr>
    </w:tbl>
    <w:p>
      <w:pPr>
        <w:spacing w:after="80" w:before="0"/>
      </w:pPr>
    </w:p>
    <w:p>
      <w:pPr>
        <w:spacing w:after="40" w:before="80"/>
        <w:jc w:val="left"/>
      </w:pPr>
      <w:r>
        <w:rPr>
          <w:rFonts w:ascii="Arial" w:cs="Arial" w:eastAsia="Arial" w:hAnsi="Arial"/>
          <w:b/>
          <w:bCs/>
          <w:i w:val="false"/>
          <w:iCs w:val="false"/>
          <w:color w:val="000000"/>
          <w:sz w:val="24"/>
          <w:szCs w:val="24"/>
        </w:rPr>
        <w:t xml:space="preserve">Layer 3 Anchors — Business User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Score</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Task Completion</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Result Usefulness</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Clarity &amp; Interpretability</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 — Excellent</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answered my exact question completely. I did not need to rephrase or follow up.</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use this result at work as-is, with no changes or additional verification.</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immediately clear. I knew exactly what the numbers or data meant.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4 — Good</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answered the main question. One minor element was missing but the core answer is there.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use this with minor edits or one quick check, but I am confident in the substance.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mostly clear. I needed to think for a moment but understood it.</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 — Partial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gave me a partial answer. I got useful information but would need to follow up to complete my task.</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could use this as a starting point but would want to verify it before acting.</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somewhat confusing. I understood parts but not all of it.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 — Poor</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answered a related but different question, or the core answer I needed was absent.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not use this without significant additional work.</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mostly confusing. I struggled to understand what it was showing.</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 — Fail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did not answer my question at all, or returned results that make no sense for what I asked.</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not use this in any form — it would actively mislead me.</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could not understand the result at all.</w:t>
            </w:r>
          </w:p>
        </w:tc>
      </w:tr>
    </w:tbl>
    <w:p>
      <w:pPr>
        <w:spacing w:after="80" w:before="0"/>
      </w:pPr>
    </w:p>
    <w:p>
      <w:pPr>
        <w:pStyle w:val="Heading2"/>
        <w:spacing w:after="100" w:before="200"/>
      </w:pPr>
      <w:r>
        <w:rPr>
          <w:rFonts w:ascii="Arial" w:cs="Arial" w:eastAsia="Arial" w:hAnsi="Arial"/>
          <w:b/>
          <w:bCs/>
          <w:color w:val="2E74B5"/>
          <w:sz w:val="28"/>
          <w:szCs w:val="28"/>
        </w:rPr>
        <w:t xml:space="preserve">A.7  Production Monitoring Thresholds</w:t>
      </w:r>
    </w:p>
    <w:p>
      <w:pPr>
        <w:spacing w:after="60" w:before="60"/>
        <w:jc w:val="left"/>
      </w:pPr>
      <w:r>
        <w:rPr>
          <w:rFonts w:ascii="Arial" w:cs="Arial" w:eastAsia="Arial" w:hAnsi="Arial"/>
          <w:b w:val="false"/>
          <w:bCs w:val="false"/>
          <w:i w:val="false"/>
          <w:iCs w:val="false"/>
          <w:color w:val="000000"/>
          <w:sz w:val="24"/>
          <w:szCs w:val="24"/>
        </w:rPr>
        <w:t xml:space="preserve">Research documents a consistent 37% gap between structured evaluation scores and real-world production performance (CLEAR Framework/Mehta, arXiv:2511.14136, 2025). Production monitoring thresholds are therefore set below evaluation pass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Evaluation pass mark</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Production monitoring threshold</w:t>
            </w:r>
          </w:p>
        </w:tc>
      </w:tr>
      <w:tr>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overall pass rate ≥85% (Medium)</w:t>
            </w:r>
          </w:p>
        </w:tc>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re-run threshold: ≥75%. Drop below triggers root-cause analysis.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overall pass rate ≥90% (High)</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re-run threshold: ≥80%.</w:t>
            </w:r>
          </w:p>
        </w:tc>
      </w:tr>
      <w:tr>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SQL Correctness avg ≥4.0 (Medium)</w:t>
            </w:r>
          </w:p>
        </w:tc>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Quarterly SME re-review threshold: avg ≥3.5. Drop below triggers a full Layer 2 re-review.</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Task Completion ≥85% (Medium)</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Production monitoring: ≥75% of interactions rated as answered. Drop below triggers a space review.</w:t>
            </w:r>
          </w:p>
        </w:tc>
      </w:tr>
    </w:tbl>
    <w:p>
      <w:pPr>
        <w:spacing w:after="80" w:before="0"/>
      </w:pPr>
    </w:p>
    <w:p>
      <w:pPr>
        <w:pStyle w:val="Heading2"/>
        <w:spacing w:after="100" w:before="200"/>
      </w:pPr>
      <w:r>
        <w:rPr>
          <w:rFonts w:ascii="Arial" w:cs="Arial" w:eastAsia="Arial" w:hAnsi="Arial"/>
          <w:b/>
          <w:bCs/>
          <w:color w:val="2E74B5"/>
          <w:sz w:val="28"/>
          <w:szCs w:val="28"/>
        </w:rPr>
        <w:t xml:space="preserve">A.8  Reviewer Calibration Before Evaluation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Step</w:t>
            </w:r>
          </w:p>
        </w:tc>
        <w:tc>
          <w:tcPr>
            <w:tcW w:type="dxa" w:w="8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Action</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1</w:t>
            </w:r>
          </w:p>
        </w:tc>
        <w:tc>
          <w:tcPr>
            <w:tcW w:type="dxa" w:w="8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Select 6–8 sample questions and result sets from outside the space’s actual benchmark set.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2</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Have all reviewers independently score each sample using the rubric and anchor card.</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3</w:t>
            </w:r>
          </w:p>
        </w:tc>
        <w:tc>
          <w:tcPr>
            <w:tcW w:type="dxa" w:w="8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Compare scores. Any dimension where reviewers disagree by 2+ points requires discussion and re-anchoring.</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Reach consensus on disputed examples. Update anchor descriptions if needed.</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5</w:t>
            </w:r>
          </w:p>
        </w:tc>
        <w:tc>
          <w:tcPr>
            <w:tcW w:type="dxa" w:w="8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Run one final calibration round on 3–4 new samples to confirm alignment before the real evaluation begins.</w:t>
            </w:r>
          </w:p>
        </w:tc>
      </w:tr>
    </w:tbl>
    <w:p>
      <w:pPr>
        <w:spacing w:after="8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2026-06-02T14:20:54.113Z</dcterms:created>
  <dcterms:modified xsi:type="dcterms:W3CDTF">2026-06-02T14:20:54.122Z</dcterms:modified>
</cp:coreProperties>
</file>

<file path=docProps/custom.xml><?xml version="1.0" encoding="utf-8"?>
<Properties xmlns="http://schemas.openxmlformats.org/officeDocument/2006/custom-properties" xmlns:vt="http://schemas.openxmlformats.org/officeDocument/2006/docPropsVTypes"/>
</file>