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1F3964"/>
          <w:sz w:val="44"/>
        </w:rPr>
        <w:t>Chatbot Evaluation Framework</w:t>
      </w:r>
    </w:p>
    <w:p>
      <w:pPr>
        <w:spacing w:after="40"/>
        <w:jc w:val="center"/>
      </w:pPr>
      <w:r>
        <w:rPr>
          <w:i/>
          <w:color w:val="2E75B6"/>
          <w:sz w:val="26"/>
        </w:rPr>
        <w:t>Selecting the Right Chatbot for Enterprise Deployment</w:t>
      </w:r>
    </w:p>
    <w:p>
      <w:pPr>
        <w:spacing w:after="320"/>
        <w:jc w:val="center"/>
      </w:pPr>
      <w:r>
        <w:rPr>
          <w:color w:val="999999"/>
          <w:sz w:val="20"/>
        </w:rPr>
        <w:t>Based on Industry Research and Best Practices  |  May 2026</w:t>
      </w:r>
    </w:p>
    <w:p>
      <w:pPr>
        <w:spacing w:before="280" w:after="80"/>
        <w:pBdr>
          <w:bottom w:val="single" w:sz="6" w:space="1" w:color="2E75B6"/>
        </w:pBdr>
      </w:pPr>
      <w:r>
        <w:rPr>
          <w:b/>
          <w:color w:val="1F3964"/>
          <w:sz w:val="26"/>
        </w:rPr>
        <w:t>BOTTOM LINE SUMMARY</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80" w:after="40"/>
            </w:pPr>
            <w:r>
              <w:rPr>
                <w:b/>
                <w:color w:val="1F3964"/>
                <w:sz w:val="22"/>
              </w:rPr>
              <w:t xml:space="preserve">Context: </w:t>
            </w:r>
            <w:r>
              <w:rPr>
                <w:color w:val="595959"/>
                <w:sz w:val="22"/>
              </w:rPr>
              <w:t>Automated scoring (Layer 1) and expert blind review (Layer 2) are already confirmed. The open question is how to structure Layer 3 — the human tester phase.</w:t>
            </w:r>
          </w:p>
          <w:p>
            <w:pPr>
              <w:spacing w:before="120" w:after="40"/>
            </w:pPr>
            <w:r>
              <w:rPr>
                <w:b/>
                <w:color w:val="1F3964"/>
                <w:sz w:val="24"/>
              </w:rPr>
              <w:t xml:space="preserve">Recommendation: </w:t>
            </w:r>
            <w:r>
              <w:rPr>
                <w:color w:val="595959"/>
                <w:sz w:val="24"/>
              </w:rPr>
              <w:t>Use a within-subjects design — every tester evaluates both chatbots — rather than A/B testing with split groups.</w:t>
            </w:r>
          </w:p>
          <w:p>
            <w:pPr>
              <w:spacing w:before="120" w:after="80"/>
            </w:pPr>
            <w:r>
              <w:rPr>
                <w:b/>
                <w:color w:val="1F3964"/>
                <w:sz w:val="22"/>
              </w:rPr>
              <w:t xml:space="preserve">Why: </w:t>
            </w:r>
            <w:r>
              <w:rPr>
                <w:color w:val="595959"/>
                <w:sz w:val="22"/>
              </w:rPr>
              <w:t>With a small internal tester group, within-subjects design delivers higher statistical power, makes better use of limited testers, and produces directly comparable paired data. A/B testing would require 40–50+ testers per group to reach reliable conclusions — a threshold most internal evaluations cannot meet. The known risks of within-subjects design (order effects, anchoring) are fully mitigated by the controls described in this document.</w:t>
            </w:r>
          </w:p>
        </w:tc>
      </w:tr>
    </w:tbl>
    <w:p>
      <w:pPr>
        <w:spacing w:after="80"/>
      </w:pPr>
    </w:p>
    <w:p>
      <w:pPr>
        <w:spacing w:before="280" w:after="80"/>
        <w:pBdr>
          <w:bottom w:val="single" w:sz="6" w:space="1" w:color="2E75B6"/>
        </w:pBdr>
      </w:pPr>
      <w:r>
        <w:rPr>
          <w:b/>
          <w:color w:val="1F3964"/>
          <w:sz w:val="26"/>
        </w:rPr>
        <w:t>THE CORE QUESTION: A/B TESTING VS. WITHIN-SUBJECTS DESIGN</w:t>
      </w:r>
    </w:p>
    <w:p>
      <w:pPr>
        <w:spacing w:before="40" w:after="160"/>
      </w:pPr>
      <w:r>
        <w:rPr>
          <w:b w:val="0"/>
          <w:i w:val="0"/>
          <w:color w:val="595959"/>
          <w:sz w:val="22"/>
        </w:rPr>
        <w:t>These are the two realistic approaches for Layer 3. Understanding the tradeoffs is essential to designing a valid evaluation.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60"/>
            </w:pPr>
            <w:r>
              <w:rPr>
                <w:b/>
                <w:color w:val="1F3964"/>
                <w:sz w:val="20"/>
              </w:rPr>
              <w:t>A/B Testing  (Split Groups)</w:t>
              <w:br/>
            </w:r>
            <w:r>
              <w:rPr>
                <w:color w:val="595959"/>
                <w:sz w:val="18"/>
              </w:rPr>
              <w:t>Testers are randomly divided into two groups. Group 1 tests only Bot A. Group 2 tests only Bot B. Results are compared across groups.</w:t>
            </w:r>
            <w:r>
              <w:rPr>
                <w:color w:val="595959"/>
                <w:sz w:val="18"/>
              </w:rPr>
              <w:br/>
              <w:t>Each tester has no exposure to the other bot.</w:t>
            </w:r>
          </w:p>
        </w:tc>
        <w:tc>
          <w:tcPr>
            <w:tcW w:type="dxa" w:w="4608"/>
            <w:shd w:val="clear" w:color="auto" w:fill="E2EFD9"/>
            <w:tcBorders>
              <w:top w:val="single" w:sz="4" w:space="0" w:color="E2EFD9"/>
              <w:left w:val="single" w:sz="4" w:space="0" w:color="E2EFD9"/>
              <w:bottom w:val="single" w:sz="4" w:space="0" w:color="E2EFD9"/>
              <w:right w:val="single" w:sz="4" w:space="0" w:color="E2EFD9"/>
            </w:tcBorders>
            <w:tcMar>
              <w:top w:w="80" w:type="dxa"/>
              <w:left w:w="120" w:type="dxa"/>
              <w:bottom w:w="80" w:type="dxa"/>
              <w:right w:w="120" w:type="dxa"/>
            </w:tcMar>
          </w:tcPr>
          <w:p>
            <w:pPr>
              <w:spacing w:before="60"/>
            </w:pPr>
            <w:r>
              <w:rPr>
                <w:b/>
                <w:color w:val="375F2A"/>
                <w:sz w:val="20"/>
              </w:rPr>
              <w:t>Within-Subjects  (Everyone Tests Both)</w:t>
              <w:br/>
            </w:r>
            <w:r>
              <w:rPr>
                <w:color w:val="595959"/>
                <w:sz w:val="18"/>
              </w:rPr>
              <w:t>Every tester evaluates both bots — Bot A on one day, Bot B on another day (min. 24hr gap). Order is randomised: half do A→B, half do B→A.</w:t>
            </w:r>
            <w:r>
              <w:rPr>
                <w:color w:val="595959"/>
                <w:sz w:val="18"/>
              </w:rPr>
              <w:br/>
              <w:t>Each tester's scores for Bot A and Bot B are directly compared.</w:t>
            </w:r>
          </w:p>
        </w:tc>
      </w:tr>
    </w:tbl>
    <w:p>
      <w:pPr>
        <w:spacing w:after="80"/>
      </w:pPr>
    </w:p>
    <w:p>
      <w:pPr>
        <w:spacing w:before="200" w:after="60"/>
      </w:pPr>
      <w:r>
        <w:rPr>
          <w:b/>
          <w:color w:val="2E75B6"/>
          <w:sz w:val="22"/>
        </w:rPr>
        <w:t>Head-to-Head Comparison</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Factor</w:t>
            </w:r>
          </w:p>
        </w:tc>
        <w:tc>
          <w:tcPr>
            <w:tcW w:type="dxa" w:w="316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A/B Testing</w:t>
            </w:r>
          </w:p>
        </w:tc>
        <w:tc>
          <w:tcPr>
            <w:tcW w:type="dxa" w:w="352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Within-Subjects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Statistical power with small groups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 Splitting 20 testers gives 10 data points per bot — rarely sufficient for reliable conclusions.</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 Each person is their own control, doubling the effective signal from the same group size.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Sample size required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40–50+ testers per group recommended for meaningful results.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15–20 total testers is workable.</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Order / anchoring effects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Each tester only sees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Mitigated by randomising which bot each tester sees first (A→B vs B→A).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Contamination risk</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Testers cannot consciously compare bots.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but low. Managed by the 24hr session gap and structured task lists.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Realism</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Mirrors real deployment — users only ever use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Testers know they are comparing two options, which is not the production experience.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Ability to identify which bot is which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risk. Testers only experience one bot; less chance of guessing.</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risk. Testers seeing both may recognise a commercial product. Mitigated by stripping labels.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Data quality per tester</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Single-bot rating only. No direct paired comparison.</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Paired comparison per tester — stronger basis for preference judgements.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Best suited for</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Large tester pools (40–50+ per group); bots with very similar styles that would be hard to distinguish.</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Small-to-medium tester groups; situations where each tester's paired judgement is more valuable than group-level averages.</w:t>
            </w:r>
          </w:p>
        </w:tc>
      </w:tr>
    </w:tbl>
    <w:p>
      <w:pPr>
        <w:spacing w:after="80"/>
      </w:pPr>
    </w:p>
    <w:p>
      <w:pPr>
        <w:spacing w:before="200" w:after="60"/>
      </w:pPr>
      <w:r>
        <w:rPr>
          <w:b/>
          <w:color w:val="2E75B6"/>
          <w:sz w:val="22"/>
        </w:rPr>
        <w:t>Why Within-Subjects Is Recommended for This Evaluation</w:t>
      </w:r>
    </w:p>
    <w:p>
      <w:pPr>
        <w:spacing w:before="0" w:after="80"/>
      </w:pPr>
      <w:r>
        <w:rPr>
          <w:b w:val="0"/>
          <w:i w:val="0"/>
          <w:color w:val="595959"/>
          <w:sz w:val="22"/>
        </w:rPr>
        <w:t>Given that automated scoring and expert blind review are already in place, Layer 3 is operating with a typical internal tester pool. Within-subjects is recommended for four specific reasons:</w:t>
      </w:r>
    </w:p>
    <w:p>
      <w:pPr>
        <w:pStyle w:val="ListBullet"/>
        <w:spacing w:before="20" w:after="60"/>
      </w:pPr>
      <w:r>
        <w:rPr>
          <w:b/>
          <w:color w:val="2E75B6"/>
          <w:sz w:val="22"/>
        </w:rPr>
        <w:t xml:space="preserve">Statistical efficiency matches your scale. </w:t>
      </w:r>
      <w:r>
        <w:rPr>
          <w:color w:val="595959"/>
          <w:sz w:val="22"/>
        </w:rPr>
        <w:t>Internal tester groups are almost always under 30 people. A/B testing at that size gives you roughly 10–15 data points per bot — not enough to detect meaningful differences with confidence. Within-subjects design extracts twice the signal from the same people.</w:t>
      </w:r>
    </w:p>
    <w:p>
      <w:pPr>
        <w:pStyle w:val="ListBullet"/>
        <w:spacing w:before="20" w:after="60"/>
      </w:pPr>
      <w:r>
        <w:rPr>
          <w:b/>
          <w:color w:val="2E75B6"/>
          <w:sz w:val="22"/>
        </w:rPr>
        <w:t xml:space="preserve">Layers 1 and 2 already control for objectivity. </w:t>
      </w:r>
      <w:r>
        <w:rPr>
          <w:color w:val="595959"/>
          <w:sz w:val="22"/>
        </w:rPr>
        <w:t>The main risk of within-subjects design — that comparison exposure biases ratings — is substantially reduced because Layer 3 is validating a provisional winner, not making the primary determination. Testers are confirming what objective data already suggests, not judging from scratch.</w:t>
      </w:r>
    </w:p>
    <w:p>
      <w:pPr>
        <w:pStyle w:val="ListBullet"/>
        <w:spacing w:before="20" w:after="60"/>
      </w:pPr>
      <w:r>
        <w:rPr>
          <w:b/>
          <w:color w:val="2E75B6"/>
          <w:sz w:val="22"/>
        </w:rPr>
        <w:t xml:space="preserve">Paired data catches individual variation. </w:t>
      </w:r>
      <w:r>
        <w:rPr>
          <w:color w:val="595959"/>
          <w:sz w:val="22"/>
        </w:rPr>
        <w:t>When the same person rates both bots, you can see not just which bot won overall but whether specific testers or roles consistently preferred one over the other. This segment-level insight is not available from A/B testing.</w:t>
      </w:r>
    </w:p>
    <w:p>
      <w:pPr>
        <w:pStyle w:val="ListBullet"/>
        <w:spacing w:before="20" w:after="60"/>
      </w:pPr>
      <w:r>
        <w:rPr>
          <w:b/>
          <w:color w:val="2E75B6"/>
          <w:sz w:val="22"/>
        </w:rPr>
        <w:t xml:space="preserve">Order randomisation neutralises anchoring. </w:t>
      </w:r>
      <w:r>
        <w:rPr>
          <w:color w:val="595959"/>
          <w:sz w:val="22"/>
        </w:rPr>
        <w:t>The primary weakness of within-subjects — that testers anchor on the first bot — is directly addressed by randomising session order. Half the group does A first, half does B first. The anchoring effects cancel out in aggregate.</w:t>
      </w:r>
    </w:p>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tcPr>
          <w:p>
            <w:pPr>
              <w:spacing w:before="40" w:after="40"/>
            </w:pPr>
            <w:r>
              <w:rPr>
                <w:b/>
                <w:color w:val="B8860B"/>
                <w:sz w:val="22"/>
              </w:rPr>
              <w:t xml:space="preserve">When to Use A/B Testing Instead:  </w:t>
            </w:r>
            <w:r>
              <w:rPr>
                <w:color w:val="595959"/>
                <w:sz w:val="22"/>
              </w:rPr>
              <w:t>If your tester pool exceeds 50 people per group; if the two bots are stylistically so similar that testers testing both would struggle to tell them apart even without labels; or if you are running a live production pilot (not a structured evaluation) where real usage data is the goal — A/B is the right choice in those scenarios.</w:t>
            </w:r>
          </w:p>
        </w:tc>
      </w:tr>
    </w:tbl>
    <w:p>
      <w:pPr>
        <w:spacing w:after="80"/>
      </w:pPr>
    </w:p>
    <w:p>
      <w:pPr>
        <w:spacing w:before="280" w:after="80"/>
        <w:pBdr>
          <w:bottom w:val="single" w:sz="6" w:space="1" w:color="2E75B6"/>
        </w:pBdr>
      </w:pPr>
      <w:r>
        <w:rPr>
          <w:b/>
          <w:color w:val="1F3964"/>
          <w:sz w:val="26"/>
        </w:rPr>
        <w:t>KEY TERMS: WHAT EACH LAYER ACTUALLY MEANS</w:t>
      </w:r>
    </w:p>
    <w:p>
      <w:pPr>
        <w:spacing w:before="0" w:after="160"/>
      </w:pPr>
      <w:r>
        <w:rPr>
          <w:b w:val="0"/>
          <w:i w:val="0"/>
          <w:color w:val="595959"/>
          <w:sz w:val="22"/>
        </w:rPr>
        <w:t>These two terms are commonly misunderstood. The table below defines exactly what each means in this context — including what it is not.</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Term</w:t>
            </w:r>
          </w:p>
        </w:tc>
        <w:tc>
          <w:tcPr>
            <w:tcW w:type="dxa" w:w="741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Precise Definition &amp; What It Is Not</w:t>
            </w:r>
          </w:p>
        </w:tc>
      </w:tr>
      <w:tr>
        <w:tc>
          <w:tcPr>
            <w:tcW w:type="dxa" w:w="2304"/>
            <w:shd w:val="clear" w:color="auto" w:fill="EBF5E4"/>
            <w:tcBorders>
              <w:top w:val="single" w:sz="4" w:space="0" w:color="EBF5E4"/>
              <w:left w:val="single" w:sz="4" w:space="0" w:color="EBF5E4"/>
              <w:bottom w:val="single" w:sz="4" w:space="0" w:color="EBF5E4"/>
              <w:right w:val="single" w:sz="4" w:space="0" w:color="EBF5E4"/>
            </w:tcBorders>
            <w:tcMar>
              <w:top w:w="80" w:type="dxa"/>
              <w:left w:w="120" w:type="dxa"/>
              <w:bottom w:w="80" w:type="dxa"/>
              <w:right w:w="120" w:type="dxa"/>
            </w:tcMar>
            <w:vAlign w:val="top"/>
          </w:tcPr>
          <w:p>
            <w:pPr>
              <w:spacing w:before="60"/>
            </w:pPr>
            <w:r>
              <w:rPr>
                <w:b/>
                <w:color w:val="375F2A"/>
                <w:sz w:val="18"/>
              </w:rPr>
              <w:t>EXPERT BLIND REVIEW</w:t>
              <w:br/>
              <w:t>(Layer 2)</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experts review responses from BOTH bots — but without knowing which bot produced each response.</w:t>
            </w:r>
          </w:p>
          <w:p>
            <w:pPr>
              <w:spacing w:before="40" w:after="60"/>
            </w:pPr>
            <w:r>
              <w:rPr>
                <w:b/>
                <w:color w:val="C00000"/>
                <w:sz w:val="18"/>
              </w:rPr>
              <w:t>NOT two separate groups each seeing only one bot.</w:t>
            </w:r>
          </w:p>
          <w:p>
            <w:pPr>
              <w:spacing w:before="40" w:after="60"/>
            </w:pPr>
            <w:r>
              <w:rPr>
                <w:color w:val="595959"/>
                <w:sz w:val="18"/>
              </w:rPr>
              <w:t>How it works: Both bots run the identical prompt bank (Layer 1). A mixed, de-labelled sample of responses is given to every expert. They score each response on the rubric with no label indicating the source bot. This removes brand preference and style bias from scoring.</w:t>
            </w:r>
          </w:p>
        </w:tc>
      </w:tr>
      <w:tr>
        <w:tc>
          <w:tcPr>
            <w:tcW w:type="dxa" w:w="2304"/>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vAlign w:val="top"/>
          </w:tcPr>
          <w:p>
            <w:pPr>
              <w:spacing w:before="60"/>
            </w:pPr>
            <w:r>
              <w:rPr>
                <w:b/>
                <w:color w:val="B8860B"/>
                <w:sz w:val="18"/>
              </w:rPr>
              <w:t>USER PREFERENCE TESTING</w:t>
              <w:br/>
              <w:t>(Layer 3)</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testers evaluate BOTH bots on separate days — a within-subjects (crossover) design.</w:t>
            </w:r>
          </w:p>
          <w:p>
            <w:pPr>
              <w:spacing w:before="40" w:after="60"/>
            </w:pPr>
            <w:r>
              <w:rPr>
                <w:b/>
                <w:color w:val="C00000"/>
                <w:sz w:val="18"/>
              </w:rPr>
              <w:t>NOT A/B testing where half the group only sees Bot A and the other half only sees Bot B.</w:t>
            </w:r>
          </w:p>
          <w:p>
            <w:pPr>
              <w:spacing w:before="40" w:after="60"/>
            </w:pPr>
            <w:r>
              <w:rPr>
                <w:color w:val="595959"/>
                <w:sz w:val="18"/>
              </w:rPr>
              <w:t>How it works: Every tester completes the full task list with Bot A on one day, then Bot B on a different day (minimum 24hr gap). Order is randomised — half do A first, half do B first — to cancel anchoring. Testers know the labels 'Bot A' and 'Bot B' but do not know the commercial products behind them.</w:t>
            </w:r>
          </w:p>
        </w:tc>
      </w:tr>
    </w:tbl>
    <w:p>
      <w:pPr>
        <w:spacing w:after="80"/>
      </w:pPr>
    </w:p>
    <w:p>
      <w:pPr>
        <w:spacing w:before="280" w:after="80"/>
        <w:pBdr>
          <w:bottom w:val="single" w:sz="6" w:space="1" w:color="2E75B6"/>
        </w:pBdr>
      </w:pPr>
      <w:r>
        <w:rPr>
          <w:b/>
          <w:color w:val="1F3964"/>
          <w:sz w:val="26"/>
        </w:rPr>
        <w:t>THE THREE-LAYER EVALUATION FRAMEWORK</w:t>
      </w:r>
    </w:p>
    <w:p>
      <w:pPr>
        <w:spacing w:before="0" w:after="160"/>
      </w:pPr>
      <w:r>
        <w:rPr>
          <w:b w:val="0"/>
          <w:i w:val="0"/>
          <w:color w:val="595959"/>
          <w:sz w:val="22"/>
        </w:rPr>
        <w:t>The table below summarizes the complete step-by-step process. Layers 1 and 2 are already confirmed. Layer 3 detail reflects the within-subjects design recommended above.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7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t>
            </w:r>
          </w:p>
        </w:tc>
        <w:tc>
          <w:tcPr>
            <w:tcW w:type="dxa" w:w="14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Layer</w:t>
            </w:r>
          </w:p>
        </w:tc>
        <w:tc>
          <w:tcPr>
            <w:tcW w:type="dxa" w:w="288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What to Do</w:t>
            </w:r>
          </w:p>
        </w:tc>
        <w:tc>
          <w:tcPr>
            <w:tcW w:type="dxa" w:w="266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Key Metrics / Outputs</w:t>
            </w:r>
          </w:p>
        </w:tc>
        <w:tc>
          <w:tcPr>
            <w:tcW w:type="dxa" w:w="216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Who Does It</w:t>
            </w:r>
          </w:p>
        </w:tc>
      </w:tr>
      <w:tr>
        <w:tc>
          <w:tcPr>
            <w:tcW w:type="dxa" w:w="57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1A</w:t>
            </w:r>
          </w:p>
        </w:tc>
        <w:tc>
          <w:tcPr>
            <w:tcW w:type="dxa" w:w="1440"/>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 1</w:t>
            </w:r>
          </w:p>
          <w:p>
            <w:pPr>
              <w:spacing w:before="20" w:after="20"/>
            </w:pPr>
            <w:r>
              <w:rPr>
                <w:b/>
                <w:color w:val="1F3964"/>
                <w:sz w:val="18"/>
              </w:rPr>
              <w:t>Automated Scoring</w:t>
            </w:r>
          </w:p>
        </w:tc>
        <w:tc>
          <w:tcPr>
            <w:tcW w:type="dxa" w:w="2880"/>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Build a standardized prompt bank of 30–50 tasks covering:</w:t>
            </w:r>
          </w:p>
          <w:p>
            <w:pPr>
              <w:spacing w:before="20" w:after="20"/>
            </w:pPr>
            <w:r>
              <w:rPr>
                <w:color w:val="595959"/>
                <w:sz w:val="18"/>
              </w:rPr>
              <w:t>• Core use cases (top 20 tasks employees will actually use)</w:t>
            </w:r>
          </w:p>
          <w:p>
            <w:pPr>
              <w:spacing w:before="20" w:after="20"/>
            </w:pPr>
            <w:r>
              <w:rPr>
                <w:color w:val="595959"/>
                <w:sz w:val="18"/>
              </w:rPr>
              <w:t>• Edge cases and tricky inputs</w:t>
            </w:r>
          </w:p>
          <w:p>
            <w:pPr>
              <w:spacing w:before="20" w:after="20"/>
            </w:pPr>
            <w:r>
              <w:rPr>
                <w:color w:val="595959"/>
                <w:sz w:val="18"/>
              </w:rPr>
              <w:t>• Adversarial / off-topic prompts</w:t>
            </w:r>
          </w:p>
          <w:p>
            <w:pPr>
              <w:spacing w:before="20" w:after="20"/>
            </w:pPr>
            <w:r>
              <w:rPr>
                <w:color w:val="595959"/>
                <w:sz w:val="18"/>
              </w:rPr>
              <w:t>• Policy and compliance scenarios</w:t>
            </w:r>
          </w:p>
          <w:p>
            <w:pPr>
              <w:spacing w:before="20" w:after="20"/>
            </w:pPr>
            <w:r>
              <w:rPr>
                <w:color w:val="595959"/>
                <w:sz w:val="18"/>
              </w:rPr>
            </w:r>
          </w:p>
          <w:p>
            <w:pPr>
              <w:spacing w:before="20" w:after="20"/>
            </w:pPr>
            <w:r>
              <w:rPr>
                <w:color w:val="595959"/>
                <w:sz w:val="18"/>
              </w:rPr>
              <w:t>Segment by domain and risk level (see Tester Scope section).</w:t>
            </w:r>
          </w:p>
        </w:tc>
        <w:tc>
          <w:tcPr>
            <w:tcW w:type="dxa" w:w="266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completion rate</w:t>
            </w:r>
          </w:p>
          <w:p>
            <w:pPr>
              <w:spacing w:before="20" w:after="20"/>
            </w:pPr>
            <w:r>
              <w:rPr>
                <w:color w:val="595959"/>
                <w:sz w:val="18"/>
              </w:rPr>
              <w:t>Factual accuracy</w:t>
            </w:r>
          </w:p>
          <w:p>
            <w:pPr>
              <w:spacing w:before="20" w:after="20"/>
            </w:pPr>
            <w:r>
              <w:rPr>
                <w:color w:val="595959"/>
                <w:sz w:val="18"/>
              </w:rPr>
              <w:t>Policy violation rate</w:t>
            </w:r>
          </w:p>
          <w:p>
            <w:pPr>
              <w:spacing w:before="20" w:after="20"/>
            </w:pPr>
            <w:r>
              <w:rPr>
                <w:color w:val="595959"/>
                <w:sz w:val="18"/>
              </w:rPr>
              <w:t>Fallback/failure rate</w:t>
            </w:r>
          </w:p>
          <w:p>
            <w:pPr>
              <w:spacing w:before="20" w:after="20"/>
            </w:pPr>
            <w:r>
              <w:rPr>
                <w:color w:val="595959"/>
                <w:sz w:val="18"/>
              </w:rPr>
              <w:t>Avg. turns to resolution</w:t>
            </w:r>
          </w:p>
        </w:tc>
        <w:tc>
          <w:tcPr>
            <w:tcW w:type="dxa" w:w="2160"/>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Evaluation lead / AI team</w:t>
            </w:r>
          </w:p>
          <w:p>
            <w:pPr>
              <w:spacing w:before="20" w:after="20"/>
            </w:pPr>
            <w:r>
              <w:rPr>
                <w:color w:val="595959"/>
                <w:sz w:val="18"/>
              </w:rPr>
              <w:t>(No end-users yet)</w:t>
            </w:r>
          </w:p>
        </w:tc>
      </w:tr>
      <w:tr>
        <w:tc>
          <w:tcPr>
            <w:tcW w:type="dxa" w:w="57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1B</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 1</w:t>
            </w:r>
          </w:p>
          <w:p>
            <w:pPr>
              <w:spacing w:before="20" w:after="20"/>
            </w:pPr>
            <w:r>
              <w:rPr>
                <w:b/>
                <w:color w:val="1F3964"/>
                <w:sz w:val="18"/>
              </w:rPr>
              <w:t>Automated Scoring</w:t>
            </w:r>
          </w:p>
        </w:tc>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Run both bots through the identical prompt bank. Score each response against a pre-defined rubric (1–5 per criterion) before any human testers see results.</w:t>
            </w:r>
          </w:p>
        </w:tc>
        <w:tc>
          <w:tcPr>
            <w:tcW w:type="dxa" w:w="266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Rubric scores per prompt</w:t>
            </w:r>
          </w:p>
          <w:p>
            <w:pPr>
              <w:spacing w:before="20" w:after="20"/>
            </w:pPr>
            <w:r>
              <w:rPr>
                <w:color w:val="595959"/>
                <w:sz w:val="18"/>
              </w:rPr>
              <w:t>Win/loss matrix by category</w:t>
            </w:r>
          </w:p>
          <w:p>
            <w:pPr>
              <w:spacing w:before="20" w:after="20"/>
            </w:pPr>
            <w:r>
              <w:rPr>
                <w:color w:val="595959"/>
                <w:sz w:val="18"/>
              </w:rPr>
              <w:t>Baseline performance gap</w:t>
            </w:r>
          </w:p>
        </w:tc>
        <w:tc>
          <w:tcPr>
            <w:tcW w:type="dxa" w:w="216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Evaluation lead / AI team</w:t>
            </w:r>
          </w:p>
        </w:tc>
      </w:tr>
      <w:tr>
        <w:tc>
          <w:tcPr>
            <w:tcW w:type="dxa" w:w="57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2A</w:t>
            </w:r>
          </w:p>
        </w:tc>
        <w:tc>
          <w:tcPr>
            <w:tcW w:type="dxa" w:w="14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 2</w:t>
            </w:r>
          </w:p>
          <w:p>
            <w:pPr>
              <w:spacing w:before="20" w:after="20"/>
            </w:pPr>
            <w:r>
              <w:rPr>
                <w:b/>
                <w:color w:val="1F3964"/>
                <w:sz w:val="18"/>
              </w:rPr>
              <w:t>Expert Blind Review</w:t>
            </w:r>
          </w:p>
        </w:tc>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Pull a random sample of 50–100 responses from each bot. Strip all identifying labels. All expert reviewers score responses from BOTH bots — blind to which bot produced each one.</w:t>
            </w:r>
          </w:p>
        </w:tc>
        <w:tc>
          <w:tcPr>
            <w:tcW w:type="dxa" w:w="266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Expert accuracy scores</w:t>
            </w:r>
          </w:p>
          <w:p>
            <w:pPr>
              <w:spacing w:before="20" w:after="20"/>
            </w:pPr>
            <w:r>
              <w:rPr>
                <w:color w:val="595959"/>
                <w:sz w:val="18"/>
              </w:rPr>
              <w:t>Policy compliance scores</w:t>
            </w:r>
          </w:p>
          <w:p>
            <w:pPr>
              <w:spacing w:before="20" w:after="20"/>
            </w:pPr>
            <w:r>
              <w:rPr>
                <w:color w:val="595959"/>
                <w:sz w:val="18"/>
              </w:rPr>
              <w:t>Tone/appropriateness ratings</w:t>
            </w:r>
          </w:p>
        </w:tc>
        <w:tc>
          <w:tcPr>
            <w:tcW w:type="dxa" w:w="216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Subject-matter experts</w:t>
            </w:r>
          </w:p>
          <w:p>
            <w:pPr>
              <w:spacing w:before="20" w:after="20"/>
            </w:pPr>
            <w:r>
              <w:rPr>
                <w:color w:val="595959"/>
                <w:sz w:val="18"/>
              </w:rPr>
              <w:t>(blind to which bot</w:t>
            </w:r>
          </w:p>
          <w:p>
            <w:pPr>
              <w:spacing w:before="20" w:after="20"/>
            </w:pPr>
            <w:r>
              <w:rPr>
                <w:color w:val="595959"/>
                <w:sz w:val="18"/>
              </w:rPr>
              <w:t>produced each response)</w:t>
            </w:r>
          </w:p>
        </w:tc>
      </w:tr>
      <w:tr>
        <w:tc>
          <w:tcPr>
            <w:tcW w:type="dxa" w:w="57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2B</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 2</w:t>
            </w:r>
          </w:p>
          <w:p>
            <w:pPr>
              <w:spacing w:before="20" w:after="20"/>
            </w:pPr>
            <w:r>
              <w:rPr>
                <w:b/>
                <w:color w:val="1F3964"/>
                <w:sz w:val="18"/>
              </w:rPr>
              <w:t>Expert Blind Review</w:t>
            </w:r>
          </w:p>
        </w:tc>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Compile weighted scorecard. If one bot leads by &gt;15%, it is the provisional winner. If within 5%, treat as a tie — let Layer 3 preference break it.</w:t>
            </w:r>
          </w:p>
        </w:tc>
        <w:tc>
          <w:tcPr>
            <w:tcW w:type="dxa" w:w="266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Weighted scorecard</w:t>
            </w:r>
          </w:p>
          <w:p>
            <w:pPr>
              <w:spacing w:before="20" w:after="20"/>
            </w:pPr>
            <w:r>
              <w:rPr>
                <w:color w:val="595959"/>
                <w:sz w:val="18"/>
              </w:rPr>
              <w:t>Provisional winner identified</w:t>
            </w:r>
          </w:p>
        </w:tc>
        <w:tc>
          <w:tcPr>
            <w:tcW w:type="dxa" w:w="216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Evaluation lead</w:t>
            </w:r>
          </w:p>
        </w:tc>
      </w:tr>
      <w:tr>
        <w:tc>
          <w:tcPr>
            <w:tcW w:type="dxa" w:w="576"/>
            <w:shd w:val="clear" w:color="auto" w:fill="FFF2CC"/>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3A</w:t>
            </w:r>
          </w:p>
        </w:tc>
        <w:tc>
          <w:tcPr>
            <w:tcW w:type="dxa" w:w="1440"/>
            <w:shd w:val="clear" w:color="auto" w:fill="FFF2CC"/>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 3</w:t>
            </w:r>
          </w:p>
          <w:p>
            <w:pPr>
              <w:spacing w:before="20" w:after="20"/>
            </w:pPr>
            <w:r>
              <w:rPr>
                <w:b/>
                <w:color w:val="1F3964"/>
                <w:sz w:val="18"/>
              </w:rPr>
              <w:t>Within-Subjects</w:t>
            </w:r>
          </w:p>
          <w:p>
            <w:pPr>
              <w:spacing w:before="20" w:after="20"/>
            </w:pPr>
            <w:r>
              <w:rPr>
                <w:b/>
                <w:color w:val="1F3964"/>
                <w:sz w:val="18"/>
              </w:rPr>
              <w:t>User Preference</w:t>
            </w:r>
          </w:p>
        </w:tc>
        <w:tc>
          <w:tcPr>
            <w:tcW w:type="dxa" w:w="2880"/>
            <w:shd w:val="clear" w:color="auto" w:fill="FFF2CC"/>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WITHIN-SUBJECTS DESIGN: All testers evaluate both bots.</w:t>
            </w:r>
          </w:p>
          <w:p>
            <w:pPr>
              <w:spacing w:before="20" w:after="20"/>
            </w:pPr>
            <w:r>
              <w:rPr>
                <w:color w:val="595959"/>
                <w:sz w:val="18"/>
              </w:rPr>
            </w:r>
          </w:p>
          <w:p>
            <w:pPr>
              <w:spacing w:before="20" w:after="20"/>
            </w:pPr>
            <w:r>
              <w:rPr>
                <w:color w:val="595959"/>
                <w:sz w:val="18"/>
              </w:rPr>
              <w:t>• Randomise order: half the group does A→B, half does B→A</w:t>
            </w:r>
          </w:p>
          <w:p>
            <w:pPr>
              <w:spacing w:before="20" w:after="20"/>
            </w:pPr>
            <w:r>
              <w:rPr>
                <w:color w:val="595959"/>
                <w:sz w:val="18"/>
              </w:rPr>
              <w:t>• Each tester completes the full task list on Bot A on Day 1</w:t>
            </w:r>
          </w:p>
          <w:p>
            <w:pPr>
              <w:spacing w:before="20" w:after="20"/>
            </w:pPr>
            <w:r>
              <w:rPr>
                <w:color w:val="595959"/>
                <w:sz w:val="18"/>
              </w:rPr>
              <w:t>• Minimum 24hr gap before testing Bot B on Day 2</w:t>
            </w:r>
          </w:p>
          <w:p>
            <w:pPr>
              <w:spacing w:before="20" w:after="20"/>
            </w:pPr>
            <w:r>
              <w:rPr>
                <w:color w:val="595959"/>
                <w:sz w:val="18"/>
              </w:rPr>
              <w:t>• Testers know labels (Bot A/B) but not the commercial products</w:t>
            </w:r>
          </w:p>
          <w:p>
            <w:pPr>
              <w:spacing w:before="20" w:after="20"/>
            </w:pPr>
            <w:r>
              <w:rPr>
                <w:color w:val="595959"/>
                <w:sz w:val="18"/>
              </w:rPr>
              <w:t>• Per-interaction ratings collected during each session</w:t>
            </w:r>
          </w:p>
        </w:tc>
        <w:tc>
          <w:tcPr>
            <w:tcW w:type="dxa" w:w="2664"/>
            <w:shd w:val="clear" w:color="auto" w:fill="FFF2CC"/>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Per-interaction ratings</w:t>
            </w:r>
          </w:p>
          <w:p>
            <w:pPr>
              <w:spacing w:before="20" w:after="20"/>
            </w:pPr>
            <w:r>
              <w:rPr>
                <w:color w:val="595959"/>
                <w:sz w:val="18"/>
              </w:rPr>
              <w:t>(helpfulness, task completion,</w:t>
            </w:r>
          </w:p>
          <w:p>
            <w:pPr>
              <w:spacing w:before="20" w:after="20"/>
            </w:pPr>
            <w:r>
              <w:rPr>
                <w:color w:val="595959"/>
                <w:sz w:val="18"/>
              </w:rPr>
              <w:t>accuracy, would-use-as-is)</w:t>
            </w:r>
          </w:p>
          <w:p>
            <w:pPr>
              <w:spacing w:before="20" w:after="20"/>
            </w:pPr>
            <w:r>
              <w:rPr>
                <w:color w:val="595959"/>
                <w:sz w:val="18"/>
              </w:rPr>
              <w:t>Session-level notes</w:t>
            </w:r>
          </w:p>
        </w:tc>
        <w:tc>
          <w:tcPr>
            <w:tcW w:type="dxa" w:w="2160"/>
            <w:shd w:val="clear" w:color="auto" w:fill="FFF2CC"/>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End-user tester group</w:t>
            </w:r>
          </w:p>
          <w:p>
            <w:pPr>
              <w:spacing w:before="20" w:after="20"/>
            </w:pPr>
            <w:r>
              <w:rPr>
                <w:color w:val="595959"/>
                <w:sz w:val="18"/>
              </w:rPr>
              <w:t>(structured tasks only;</w:t>
            </w:r>
          </w:p>
          <w:p>
            <w:pPr>
              <w:spacing w:before="20" w:after="20"/>
            </w:pPr>
            <w:r>
              <w:rPr>
                <w:color w:val="595959"/>
                <w:sz w:val="18"/>
              </w:rPr>
              <w:t>see Tester Scope</w:t>
            </w:r>
          </w:p>
          <w:p>
            <w:pPr>
              <w:spacing w:before="20" w:after="20"/>
            </w:pPr>
            <w:r>
              <w:rPr>
                <w:color w:val="595959"/>
                <w:sz w:val="18"/>
              </w:rPr>
              <w:t>for role restrictions)</w:t>
            </w:r>
          </w:p>
        </w:tc>
      </w:tr>
      <w:tr>
        <w:tc>
          <w:tcPr>
            <w:tcW w:type="dxa" w:w="576"/>
            <w:shd w:val="clear" w:color="auto" w:fill="FFFB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3B</w:t>
            </w:r>
          </w:p>
        </w:tc>
        <w:tc>
          <w:tcPr>
            <w:tcW w:type="dxa" w:w="1440"/>
            <w:shd w:val="clear" w:color="auto" w:fill="FFFB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 3</w:t>
            </w:r>
          </w:p>
          <w:p>
            <w:pPr>
              <w:spacing w:before="20" w:after="20"/>
            </w:pPr>
            <w:r>
              <w:rPr>
                <w:b/>
                <w:color w:val="1F3964"/>
                <w:sz w:val="18"/>
              </w:rPr>
              <w:t>Within-Subjects</w:t>
            </w:r>
          </w:p>
          <w:p>
            <w:pPr>
              <w:spacing w:before="20" w:after="20"/>
            </w:pPr>
            <w:r>
              <w:rPr>
                <w:b/>
                <w:color w:val="1F3964"/>
                <w:sz w:val="18"/>
              </w:rPr>
              <w:t>User Preference</w:t>
            </w:r>
          </w:p>
        </w:tc>
        <w:tc>
          <w:tcPr>
            <w:tcW w:type="dxa" w:w="2880"/>
            <w:shd w:val="clear" w:color="auto" w:fill="FFFB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After both sessions, each tester answers:</w:t>
            </w:r>
          </w:p>
          <w:p>
            <w:pPr>
              <w:spacing w:before="20" w:after="20"/>
            </w:pPr>
            <w:r>
              <w:rPr>
                <w:color w:val="595959"/>
                <w:sz w:val="18"/>
              </w:rPr>
              <w:t>'Overall, which bot better helped you complete your work?'</w:t>
            </w:r>
          </w:p>
          <w:p>
            <w:pPr>
              <w:spacing w:before="20" w:after="20"/>
            </w:pPr>
            <w:r>
              <w:rPr>
                <w:color w:val="595959"/>
                <w:sz w:val="18"/>
              </w:rPr>
            </w:r>
          </w:p>
          <w:p>
            <w:pPr>
              <w:spacing w:before="20" w:after="20"/>
            </w:pPr>
            <w:r>
              <w:rPr>
                <w:color w:val="595959"/>
                <w:sz w:val="18"/>
              </w:rPr>
              <w:t>Analyse whether preference confirms the Layer 1/2 winner. If yes — deploy with confidence. If not — investigate before overriding objective data.</w:t>
            </w:r>
          </w:p>
        </w:tc>
        <w:tc>
          <w:tcPr>
            <w:tcW w:type="dxa" w:w="2664"/>
            <w:shd w:val="clear" w:color="auto" w:fill="FFFB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Overall preference vote</w:t>
            </w:r>
          </w:p>
          <w:p>
            <w:pPr>
              <w:spacing w:before="20" w:after="20"/>
            </w:pPr>
            <w:r>
              <w:rPr>
                <w:color w:val="595959"/>
                <w:sz w:val="18"/>
              </w:rPr>
              <w:t>Qualitative comments</w:t>
            </w:r>
          </w:p>
          <w:p>
            <w:pPr>
              <w:spacing w:before="20" w:after="20"/>
            </w:pPr>
            <w:r>
              <w:rPr>
                <w:color w:val="595959"/>
                <w:sz w:val="18"/>
              </w:rPr>
              <w:t>Final decision + rationale</w:t>
            </w:r>
          </w:p>
        </w:tc>
        <w:tc>
          <w:tcPr>
            <w:tcW w:type="dxa" w:w="2160"/>
            <w:shd w:val="clear" w:color="auto" w:fill="FFFB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Evaluation lead</w:t>
            </w:r>
          </w:p>
          <w:p>
            <w:pPr>
              <w:spacing w:before="20" w:after="20"/>
            </w:pPr>
            <w:r>
              <w:rPr>
                <w:color w:val="595959"/>
                <w:sz w:val="18"/>
              </w:rPr>
              <w:t>+ tester group</w:t>
            </w:r>
          </w:p>
        </w:tc>
      </w:tr>
      <w:tr>
        <w:tc>
          <w:tcPr>
            <w:tcW w:type="dxa" w:w="576"/>
            <w:shd w:val="clear" w:color="auto" w:fill="F2F2F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4</w:t>
            </w:r>
          </w:p>
        </w:tc>
        <w:tc>
          <w:tcPr>
            <w:tcW w:type="dxa" w:w="1440"/>
            <w:shd w:val="clear" w:color="auto" w:fill="F2F2F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Staged Rollout</w:t>
            </w:r>
          </w:p>
        </w:tc>
        <w:tc>
          <w:tcPr>
            <w:tcW w:type="dxa" w:w="2880"/>
            <w:shd w:val="clear" w:color="auto" w:fill="F2F2F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Deploy the winner to 10% of the company. Monitor production metrics for 2 weeks before expanding: 10% → 25% → 50% → 100%.</w:t>
            </w:r>
          </w:p>
        </w:tc>
        <w:tc>
          <w:tcPr>
            <w:tcW w:type="dxa" w:w="2664"/>
            <w:shd w:val="clear" w:color="auto" w:fill="F2F2F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Production accuracy</w:t>
            </w:r>
          </w:p>
          <w:p>
            <w:pPr>
              <w:spacing w:before="20" w:after="20"/>
            </w:pPr>
            <w:r>
              <w:rPr>
                <w:color w:val="595959"/>
                <w:sz w:val="18"/>
              </w:rPr>
              <w:t>User satisfaction scores</w:t>
            </w:r>
          </w:p>
          <w:p>
            <w:pPr>
              <w:spacing w:before="20" w:after="20"/>
            </w:pPr>
            <w:r>
              <w:rPr>
                <w:color w:val="595959"/>
                <w:sz w:val="18"/>
              </w:rPr>
              <w:t>Escalation/error rate</w:t>
            </w:r>
          </w:p>
        </w:tc>
        <w:tc>
          <w:tcPr>
            <w:tcW w:type="dxa" w:w="2160"/>
            <w:shd w:val="clear" w:color="auto" w:fill="F2F2F2"/>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IT / deployment team</w:t>
            </w:r>
          </w:p>
          <w:p>
            <w:pPr>
              <w:spacing w:before="20" w:after="20"/>
            </w:pPr>
            <w:r>
              <w:rPr>
                <w:color w:val="595959"/>
                <w:sz w:val="18"/>
              </w:rPr>
              <w:t>+ ongoing monitoring</w:t>
            </w:r>
          </w:p>
        </w:tc>
      </w:tr>
    </w:tbl>
    <w:p>
      <w:pPr>
        <w:spacing w:after="80"/>
      </w:pPr>
    </w:p>
    <w:p>
      <w:pPr>
        <w:spacing w:before="280" w:after="80"/>
        <w:pBdr>
          <w:bottom w:val="single" w:sz="6" w:space="1" w:color="2E75B6"/>
        </w:pBdr>
      </w:pPr>
      <w:r>
        <w:rPr>
          <w:b/>
          <w:color w:val="1F3964"/>
          <w:sz w:val="26"/>
        </w:rPr>
        <w:t>TESTER SCOPE: WHO SHOULD EVALUATE WHAT</w:t>
      </w:r>
    </w:p>
    <w:p>
      <w:pPr>
        <w:spacing w:before="0" w:after="120"/>
      </w:pPr>
      <w:r>
        <w:rPr>
          <w:b w:val="0"/>
          <w:i w:val="0"/>
          <w:color w:val="595959"/>
          <w:sz w:val="22"/>
        </w:rPr>
        <w:t>Not all testers should evaluate all prompts. Assigning testers to tasks outside their job domain produces unreliable signal and creates a dangerous false-confidence risk: a tester without domain expertise may rate an authoritative-sounding but incorrect or non-compliant answer highly, and that failure disappears into the aggregate data invisibly.</w:t>
      </w:r>
    </w:p>
    <w:p>
      <w:pPr>
        <w:spacing w:before="200" w:after="60"/>
      </w:pPr>
      <w:r>
        <w:rPr>
          <w:b/>
          <w:color w:val="2E75B6"/>
          <w:sz w:val="22"/>
        </w:rPr>
        <w:t>The Core Rule</w:t>
      </w:r>
    </w:p>
    <w:tbl>
      <w:tblPr>
        <w:tblStyle w:val="TableGrid"/>
        <w:tblW w:type="auto" w:w="0"/>
        <w:jc w:val="left"/>
        <w:tblLook w:firstColumn="1" w:firstRow="1" w:lastColumn="0" w:lastRow="0" w:noHBand="0" w:noVBand="1" w:val="04A0"/>
      </w:tblPr>
      <w:tblGrid>
        <w:gridCol w:w="9360"/>
      </w:tblGrid>
      <w:tr>
        <w:tc>
          <w:tcPr>
            <w:tcW w:type="dxa" w:w="9360"/>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40" w:after="40"/>
            </w:pPr>
            <w:r>
              <w:rPr>
                <w:b/>
                <w:color w:val="2E75B6"/>
                <w:sz w:val="22"/>
              </w:rPr>
              <w:t xml:space="preserve">Rule:  </w:t>
            </w:r>
            <w:r>
              <w:rPr>
                <w:color w:val="595959"/>
                <w:sz w:val="22"/>
              </w:rPr>
              <w:t>If a human employee in that tester's role would need to escalate the question to someone else before acting on the answer, then evaluating the chatbot's response to that question is also outside their scope. Design your evaluation the same way you would design your organisation's escalation paths.</w:t>
            </w:r>
          </w:p>
        </w:tc>
      </w:tr>
    </w:tbl>
    <w:p>
      <w:pPr>
        <w:spacing w:after="80"/>
      </w:pPr>
    </w:p>
    <w:p>
      <w:pPr>
        <w:spacing w:before="200" w:after="60"/>
      </w:pPr>
      <w:r>
        <w:rPr>
          <w:b/>
          <w:color w:val="2E75B6"/>
          <w:sz w:val="22"/>
        </w:rPr>
        <w:t>Prompt Segmentation by Domain and Risk</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Task Type</w:t>
            </w:r>
          </w:p>
        </w:tc>
        <w:tc>
          <w:tcPr>
            <w:tcW w:type="dxa" w:w="50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Who Can Evaluate</w:t>
            </w:r>
          </w:p>
        </w:tc>
        <w:tc>
          <w:tcPr>
            <w:tcW w:type="dxa" w:w="16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Evaluation Layer</w:t>
            </w:r>
          </w:p>
        </w:tc>
      </w:tr>
      <w:tr>
        <w:tc>
          <w:tcPr>
            <w:tcW w:type="dxa" w:w="302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Low-risk / general tasks</w:t>
            </w:r>
          </w:p>
          <w:p>
            <w:pPr>
              <w:spacing w:before="20" w:after="20"/>
            </w:pPr>
            <w:r>
              <w:rPr>
                <w:b w:val="0"/>
                <w:color w:val="595959"/>
                <w:sz w:val="18"/>
              </w:rPr>
              <w:t>(e.g. summarising a document, scheduling help, general Q&amp;A)</w:t>
            </w:r>
          </w:p>
        </w:tc>
        <w:tc>
          <w:tcPr>
            <w:tcW w:type="dxa" w:w="50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Any tester whose role involves this type of work.</w:t>
            </w:r>
          </w:p>
        </w:tc>
        <w:tc>
          <w:tcPr>
            <w:tcW w:type="dxa" w:w="16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General tester pool (Layer 3)</w:t>
            </w:r>
          </w:p>
        </w:tc>
      </w:tr>
      <w:tr>
        <w:tc>
          <w:tcPr>
            <w:tcW w:type="dxa" w:w="302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Domain-specific tasks</w:t>
            </w:r>
          </w:p>
          <w:p>
            <w:pPr>
              <w:spacing w:before="20" w:after="20"/>
            </w:pPr>
            <w:r>
              <w:rPr>
                <w:b w:val="0"/>
                <w:color w:val="595959"/>
                <w:sz w:val="18"/>
              </w:rPr>
              <w:t>(e.g. finance queries, HR policy questions, IT procedures)</w:t>
            </w:r>
          </w:p>
        </w:tc>
        <w:tc>
          <w:tcPr>
            <w:tcW w:type="dxa" w:w="5040"/>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Only testers from that function. A salesperson should not rate an HR compliance answer.</w:t>
            </w:r>
          </w:p>
        </w:tc>
        <w:tc>
          <w:tcPr>
            <w:tcW w:type="dxa" w:w="16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Domain-matched testers (Layer 3)</w:t>
            </w:r>
          </w:p>
        </w:tc>
      </w:tr>
      <w:tr>
        <w:tc>
          <w:tcPr>
            <w:tcW w:type="dxa" w:w="30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Sensitive or risk-adjacent tasks</w:t>
            </w:r>
          </w:p>
          <w:p>
            <w:pPr>
              <w:spacing w:before="20" w:after="20"/>
            </w:pPr>
            <w:r>
              <w:rPr>
                <w:b w:val="0"/>
                <w:color w:val="595959"/>
                <w:sz w:val="18"/>
              </w:rPr>
              <w:t>(e.g. legal guidance, data privacy, employee relations, compliance edge cases)</w:t>
            </w:r>
          </w:p>
        </w:tc>
        <w:tc>
          <w:tcPr>
            <w:tcW w:type="dxa" w:w="5040"/>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Subject-matter experts or function leads only — not general employees.</w:t>
            </w:r>
          </w:p>
          <w:p>
            <w:pPr>
              <w:spacing w:before="20" w:after="20"/>
            </w:pPr>
            <w:r>
              <w:rPr>
                <w:b w:val="0"/>
                <w:color w:val="595959"/>
                <w:sz w:val="18"/>
              </w:rPr>
              <w:t>These belong in Layer 2 expert review, not Layer 3.</w:t>
            </w:r>
          </w:p>
        </w:tc>
        <w:tc>
          <w:tcPr>
            <w:tcW w:type="dxa" w:w="16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Expert reviewers only (Layer 2)</w:t>
            </w:r>
          </w:p>
        </w:tc>
      </w:tr>
      <w:tr>
        <w:tc>
          <w:tcPr>
            <w:tcW w:type="dxa" w:w="3024"/>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Adversarial / red-team prompts</w:t>
            </w:r>
          </w:p>
          <w:p>
            <w:pPr>
              <w:spacing w:before="20" w:after="20"/>
            </w:pPr>
            <w:r>
              <w:rPr>
                <w:b w:val="0"/>
                <w:color w:val="595959"/>
                <w:sz w:val="18"/>
              </w:rPr>
              <w:t>(e.g. jailbreak attempts, policy violations, off-topic probing)</w:t>
            </w:r>
          </w:p>
        </w:tc>
        <w:tc>
          <w:tcPr>
            <w:tcW w:type="dxa" w:w="5040"/>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reviewers only: IT security, Legal, or Compliance.</w:t>
            </w:r>
          </w:p>
          <w:p>
            <w:pPr>
              <w:spacing w:before="20" w:after="20"/>
            </w:pPr>
            <w:r>
              <w:rPr>
                <w:b w:val="0"/>
                <w:color w:val="595959"/>
                <w:sz w:val="18"/>
              </w:rPr>
              <w:t>Never assign to general testers.</w:t>
            </w:r>
          </w:p>
        </w:tc>
        <w:tc>
          <w:tcPr>
            <w:tcW w:type="dxa" w:w="1656"/>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 only</w:t>
            </w:r>
          </w:p>
          <w:p>
            <w:pPr>
              <w:spacing w:before="20" w:after="20"/>
            </w:pPr>
            <w:r>
              <w:rPr>
                <w:b w:val="0"/>
                <w:color w:val="595959"/>
                <w:sz w:val="18"/>
              </w:rPr>
              <w:t>(outside Layer 3 entirely)</w:t>
            </w:r>
          </w:p>
        </w:tc>
      </w:tr>
    </w:tbl>
    <w:p>
      <w:pPr>
        <w:spacing w:after="80"/>
      </w:pPr>
    </w:p>
    <w:p>
      <w:pPr>
        <w:spacing w:before="0" w:after="120"/>
      </w:pPr>
      <w:r>
        <w:rPr>
          <w:b/>
          <w:i w:val="0"/>
          <w:color w:val="C00000"/>
          <w:sz w:val="22"/>
        </w:rPr>
        <w:t>The invisible failure mode: If a general tester encounters a genuinely risky bot response and does not recognise it as risky, that response receives a passing score. The problem is undetectable in your aggregate data. Domain-matching testers to tasks is the only way to prevent this.</w:t>
      </w:r>
    </w:p>
    <w:p>
      <w:pPr>
        <w:spacing w:before="280" w:after="80"/>
        <w:pBdr>
          <w:bottom w:val="single" w:sz="6" w:space="1" w:color="2E75B6"/>
        </w:pBdr>
      </w:pPr>
      <w:r>
        <w:rPr>
          <w:b/>
          <w:color w:val="1F3964"/>
          <w:sz w:val="26"/>
        </w:rPr>
        <w:t>HUMAN TESTER GUIDANCE (LAYER 3)</w:t>
      </w:r>
    </w:p>
    <w:p>
      <w:pPr>
        <w:spacing w:before="200" w:after="60"/>
      </w:pPr>
      <w:r>
        <w:rPr>
          <w:b/>
          <w:color w:val="2E75B6"/>
          <w:sz w:val="22"/>
        </w:rPr>
        <w:t>Pre-Session Briefing</w:t>
      </w:r>
    </w:p>
    <w:p>
      <w:pPr>
        <w:spacing w:before="0" w:after="120"/>
      </w:pPr>
      <w:r>
        <w:rPr>
          <w:b w:val="0"/>
          <w:i w:val="0"/>
          <w:color w:val="595959"/>
          <w:sz w:val="22"/>
        </w:rPr>
        <w:t>Provide all testers with the following written instructions before they begin. Unstructured testing produces noise, not signal.</w:t>
      </w:r>
    </w:p>
    <w:p>
      <w:pPr>
        <w:spacing w:before="200" w:after="60"/>
      </w:pPr>
      <w:r>
        <w:rPr>
          <w:b/>
          <w:color w:val="2E75B6"/>
          <w:sz w:val="22"/>
        </w:rPr>
        <w:t>✅  What Testers SHOULD Do</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Instruction</w:t>
            </w:r>
          </w:p>
        </w:tc>
        <w:tc>
          <w:tcPr>
            <w:tcW w:type="dxa" w:w="684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Guidance</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Work through the task list in order.</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be given 15–20 specific tasks to complete. Finish all of them before any open exploration. The task list defines what you are evaluating — do not skip items that feel repetitive.</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Rate each interaction immediately after receiving a response.</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Complete the short rating form after each response — do not wait until the end of the session. Immediate ratings are more accurate than retrospective ones.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Use your own words when prompting.</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The task list gives you a goal (e.g. 'Ask the bot to summarise our expense policy'). Phrase it naturally, the way you would at work. Do not copy-paste a script.</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Note anything surprising.</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the bot says something wrong, off-topic, inappropriate, or unexpectedly good, record it in the comments field with the specific text. Examples are far more useful than general opinions.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Take a full day's break between sessions.</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test one bot today and the other on a different day. This reduces anchoring — your first session should not shape how you experience the second.</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Treat it like real work.</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Approach each task as if you genuinely needed help with it. The evaluation is only as useful as the realism of your interactions.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Only evaluate tasks relevant to your own role.</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are being asked to assess tasks that reflect your actual job. Do not rate responses to prompts outside your area — flag them to the evaluation lead instead.</w:t>
            </w:r>
          </w:p>
        </w:tc>
      </w:tr>
    </w:tbl>
    <w:p>
      <w:pPr>
        <w:spacing w:after="80"/>
      </w:pPr>
    </w:p>
    <w:p>
      <w:pPr>
        <w:spacing w:before="200" w:after="60"/>
      </w:pPr>
      <w:r>
        <w:rPr>
          <w:b/>
          <w:color w:val="2E75B6"/>
          <w:sz w:val="22"/>
        </w:rPr>
        <w:t>❌  What Testers SHOULD NOT Do</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Instruction</w:t>
            </w:r>
          </w:p>
        </w:tc>
        <w:tc>
          <w:tcPr>
            <w:tcW w:type="dxa" w:w="6264"/>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Why It Matters</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try to identify which bot is which.</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Bots are labelled 'Bot A' and 'Bot B' only. If you recognise a product, flag it to the evaluation lead rather than factoring it into your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discuss your ratings with other testers.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Group consensus corrupts independent data. Your individual experience is what we need.</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give an overall preference until the very end.</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Only after completing both full sessions should you answer the final preference question. Forming that opinion mid-session biases your per-task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rate personality or style as a substitute for task performance.</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 friendly but inaccurate chatbot is worse than a blunt but correct one. Rate helpfulness based on whether it actually solved your problem.</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test only easy questions.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During free-choice time, probe edge cases — ambiguous, sensitive, or complex questions. Easy questions will not reveal meaningful differences between the bots.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penalise appropriate refusals.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bot declines to answer something it reasonably should not (e.g. confidential data requests, policy violations), that is correct behaviour — not a failure.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evaluate tasks outside your domain.</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task involves a subject you would normally escalate to another team, skip it and flag it to the evaluation lead. Rating responses you cannot accurately judge creates false data.</w:t>
            </w:r>
          </w:p>
        </w:tc>
      </w:tr>
    </w:tbl>
    <w:p>
      <w:pPr>
        <w:spacing w:after="80"/>
      </w:pPr>
    </w:p>
    <w:p>
      <w:pPr>
        <w:spacing w:before="200" w:after="60"/>
      </w:pPr>
      <w:r>
        <w:rPr>
          <w:b/>
          <w:color w:val="2E75B6"/>
          <w:sz w:val="22"/>
        </w:rPr>
        <w:t>Per-Interaction Rating Form</w:t>
      </w:r>
    </w:p>
    <w:p>
      <w:pPr>
        <w:spacing w:before="0" w:after="120"/>
      </w:pPr>
      <w:r>
        <w:rPr>
          <w:b w:val="0"/>
          <w:i w:val="0"/>
          <w:color w:val="595959"/>
          <w:sz w:val="22"/>
        </w:rPr>
        <w:t>Provide testers with this form to complete after EACH chatbot response during the session.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Question</w:t>
            </w:r>
          </w:p>
        </w:tc>
        <w:tc>
          <w:tcPr>
            <w:tcW w:type="dxa" w:w="511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Scale / Format</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Did the chatbot complete your task?</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Partially / No</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helpful was the response?</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(not helpful) – 5 (very helpful)</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accurate did the response seem?</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(clearly wrong) – 5 (clearly correct)</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Would you use this answer at work as-is?</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With edits / No</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Was this task within your area of expertise?</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No  [if No, flag to evaluation lead]</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Any notable issues? (Optional)</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Free text</w:t>
            </w:r>
          </w:p>
        </w:tc>
      </w:tr>
    </w:tbl>
    <w:p>
      <w:pPr>
        <w:spacing w:after="80"/>
      </w:pPr>
    </w:p>
    <w:p>
      <w:pPr>
        <w:spacing w:before="280" w:after="80"/>
        <w:pBdr>
          <w:bottom w:val="single" w:sz="6" w:space="1" w:color="2E75B6"/>
        </w:pBdr>
      </w:pPr>
      <w:r>
        <w:rPr>
          <w:b/>
          <w:color w:val="1F3964"/>
          <w:sz w:val="26"/>
        </w:rPr>
        <w:t>DECISION RULE: HOW TO PICK THE WINNER</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Scenario</w:t>
            </w:r>
          </w:p>
        </w:tc>
        <w:tc>
          <w:tcPr>
            <w:tcW w:type="dxa" w:w="626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Decision</w:t>
            </w:r>
          </w:p>
        </w:tc>
      </w:tr>
      <w:tr>
        <w:tc>
          <w:tcPr>
            <w:tcW w:type="dxa" w:w="34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AND testers prefer Bot A</w:t>
            </w:r>
          </w:p>
        </w:tc>
        <w:tc>
          <w:tcPr>
            <w:tcW w:type="dxa" w:w="626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Deploy Bot A with high confidence.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but testers prefer Bot B</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before deciding. Testers may prefer style over substance, or may have rated out-of-domain responses they were not qualified to judge. Review Bot B's Layer 1/2 failures before overriding objective data.</w:t>
            </w:r>
          </w:p>
        </w:tc>
      </w:tr>
      <w:tr>
        <w:tc>
          <w:tcPr>
            <w:tcW w:type="dxa" w:w="34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Layers 1 &amp; 2 are a statistical tie</w:t>
            </w:r>
          </w:p>
          <w:p>
            <w:pPr>
              <w:spacing w:before="20" w:after="20"/>
            </w:pPr>
            <w:r>
              <w:rPr>
                <w:b/>
                <w:color w:val="1F3964"/>
                <w:sz w:val="18"/>
              </w:rPr>
              <w:t>(&lt;5% margin on weighted scorecard)</w:t>
            </w:r>
          </w:p>
        </w:tc>
        <w:tc>
          <w:tcPr>
            <w:tcW w:type="dxa" w:w="626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Let Layer 3 preference break the tie. This is the one scenario where user preference is the primary driver.</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Testers prefer the bot that refused</w:t>
            </w:r>
          </w:p>
          <w:p>
            <w:pPr>
              <w:spacing w:before="20" w:after="20"/>
            </w:pPr>
            <w:r>
              <w:rPr>
                <w:b/>
                <w:color w:val="1F3964"/>
                <w:sz w:val="18"/>
              </w:rPr>
              <w:t>more safety-sensitive requests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Do NOT let this override Layer 1/2 results. Per UC Berkeley research, users systematically penalise correct refusals. A preference penalty for appropriate refusals is bias, not signal.</w:t>
            </w:r>
          </w:p>
        </w:tc>
      </w:tr>
      <w:tr>
        <w:tc>
          <w:tcPr>
            <w:tcW w:type="dxa" w:w="345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 specific tester segment strongly</w:t>
            </w:r>
          </w:p>
          <w:p>
            <w:pPr>
              <w:spacing w:before="20" w:after="20"/>
            </w:pPr>
            <w:r>
              <w:rPr>
                <w:b/>
                <w:color w:val="1F3964"/>
                <w:sz w:val="18"/>
              </w:rPr>
              <w:t>prefers one bot over the other</w:t>
            </w:r>
          </w:p>
        </w:tc>
        <w:tc>
          <w:tcPr>
            <w:tcW w:type="dxa" w:w="626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whether the preference aligns with domain. If, for example, the finance team strongly prefers Bot B, check whether Bot B outperformed on finance-specific tasks in Layer 1/2. Segment-level insight is one of the key advantages of within-subjects design.</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pPr>
    <w:r>
      <w:rPr>
        <w:color w:val="999999"/>
        <w:sz w:val="16"/>
      </w:rPr>
      <w:t>Chatbot Evaluation Framework  |  Internal Use  |  Based on UC Berkeley Chatbot Arena &amp; Stanford HELM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