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Inconsistencies and Logical Flaws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de-DE"/>
        </w:rPr>
        <w:t xml:space="preserve">1. Layer 1 Pass Rate Formula </w:t>
      </w:r>
      <w:r>
        <w:rPr>
          <w:rFonts w:ascii="Times Roman" w:hAnsi="Times Roman" w:hint="default"/>
          <w:b w:val="1"/>
          <w:bCs w:val="1"/>
          <w:rtl w:val="0"/>
          <w:lang w:val="en-US"/>
        </w:rPr>
        <w:t xml:space="preserve">— </w:t>
      </w:r>
      <w:r>
        <w:rPr>
          <w:rFonts w:ascii="Times Roman" w:hAnsi="Times Roman"/>
          <w:b w:val="1"/>
          <w:bCs w:val="1"/>
          <w:rtl w:val="0"/>
          <w:lang w:val="en-US"/>
        </w:rPr>
        <w:t>Denominator Definition Conflict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Section 5.2 vs. the Layer 1 process table in Section 5.1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formula is stated as </w:t>
      </w:r>
      <w:r>
        <w:rPr>
          <w:rFonts w:ascii="Times Roman" w:hAnsi="Times Roman"/>
          <w:b w:val="1"/>
          <w:bCs w:val="1"/>
          <w:rtl w:val="0"/>
          <w:lang w:val="en-US"/>
        </w:rPr>
        <w:t xml:space="preserve">"Good </w:t>
      </w:r>
      <w:r>
        <w:rPr>
          <w:rFonts w:ascii="Times Roman" w:hAnsi="Times Roman" w:hint="default"/>
          <w:b w:val="1"/>
          <w:bCs w:val="1"/>
          <w:rtl w:val="0"/>
        </w:rPr>
        <w:t xml:space="preserve">÷ </w:t>
      </w:r>
      <w:r>
        <w:rPr>
          <w:rFonts w:ascii="Times Roman" w:hAnsi="Times Roman"/>
          <w:b w:val="1"/>
          <w:bCs w:val="1"/>
          <w:rtl w:val="0"/>
          <w:lang w:val="fr-FR"/>
        </w:rPr>
        <w:t>total in-scope questions"</w:t>
      </w:r>
      <w:r>
        <w:rPr>
          <w:rFonts w:ascii="Times Roman" w:hAnsi="Times Roman"/>
          <w:rtl w:val="0"/>
          <w:lang w:val="en-US"/>
        </w:rPr>
        <w:t xml:space="preserve"> in Section 5.2 and repeated in the process table. However, the worked Example 2 (Appendix B.2) calculates the pass rate as </w:t>
      </w:r>
      <w:r>
        <w:rPr>
          <w:rFonts w:ascii="Times Roman" w:hAnsi="Times Roman"/>
          <w:b w:val="1"/>
          <w:bCs w:val="1"/>
          <w:rtl w:val="0"/>
          <w:lang w:val="ru-RU"/>
        </w:rPr>
        <w:t xml:space="preserve">41 </w:t>
      </w:r>
      <w:r>
        <w:rPr>
          <w:rFonts w:ascii="Times Roman" w:hAnsi="Times Roman" w:hint="default"/>
          <w:b w:val="1"/>
          <w:bCs w:val="1"/>
          <w:rtl w:val="0"/>
        </w:rPr>
        <w:t xml:space="preserve">÷ </w:t>
      </w:r>
      <w:r>
        <w:rPr>
          <w:rFonts w:ascii="Times Roman" w:hAnsi="Times Roman"/>
          <w:b w:val="1"/>
          <w:bCs w:val="1"/>
          <w:rtl w:val="0"/>
        </w:rPr>
        <w:t>43 = 95.3%</w:t>
      </w:r>
      <w:r>
        <w:rPr>
          <w:rFonts w:ascii="Times Roman" w:hAnsi="Times Roman" w:hint="default"/>
          <w:rtl w:val="0"/>
          <w:lang w:val="en-US"/>
        </w:rPr>
        <w:t xml:space="preserve"> — </w:t>
      </w:r>
      <w:r>
        <w:rPr>
          <w:rFonts w:ascii="Times Roman" w:hAnsi="Times Roman"/>
          <w:rtl w:val="0"/>
          <w:lang w:val="en-US"/>
        </w:rPr>
        <w:t>but the 43-question set includes out-of-scope questions (the document requires a minimum 20% out-of-scope). If out-of-scope questions are truly excluded from the denominator as the formula states, the denominator should be smaller than 43, and the pass rate would be higher. The example doesn't show this calculation clearly, which will confuse evaluators trying to replicate it.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Recommendation:</w:t>
      </w:r>
      <w:r>
        <w:rPr>
          <w:rFonts w:ascii="Times Roman" w:hAnsi="Times Roman"/>
          <w:rtl w:val="0"/>
          <w:lang w:val="en-US"/>
        </w:rPr>
        <w:t xml:space="preserve"> The worked example should show the denominator split explicitly (e.g., "43 total </w:t>
      </w:r>
      <w:r>
        <w:rPr>
          <w:rFonts w:ascii="Times Roman" w:hAnsi="Times Roman" w:hint="default"/>
          <w:rtl w:val="0"/>
        </w:rPr>
        <w:t xml:space="preserve">− </w:t>
      </w:r>
      <w:r>
        <w:rPr>
          <w:rFonts w:ascii="Times Roman" w:hAnsi="Times Roman"/>
          <w:rtl w:val="0"/>
          <w:lang w:val="en-US"/>
        </w:rPr>
        <w:t>X out-of-scope = Y in-scope questions in the denominator").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2. Appropriate Refusal </w:t>
      </w:r>
      <w:r>
        <w:rPr>
          <w:rFonts w:ascii="Times Roman" w:hAnsi="Times Roman" w:hint="default"/>
          <w:b w:val="1"/>
          <w:bCs w:val="1"/>
          <w:rtl w:val="0"/>
          <w:lang w:val="en-US"/>
        </w:rPr>
        <w:t xml:space="preserve">— </w:t>
      </w:r>
      <w:r>
        <w:rPr>
          <w:rFonts w:ascii="Times Roman" w:hAnsi="Times Roman"/>
          <w:b w:val="1"/>
          <w:bCs w:val="1"/>
          <w:rtl w:val="0"/>
          <w:lang w:val="en-US"/>
        </w:rPr>
        <w:t>Scored in Both Layer 1 AND Layer 2, But Differently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Appendix A.3 (Layer 1 thresholds), Appendix A.4 (Layer 2 thresholds), and the dimension assignment table in A.1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dimension assignment table in A.1 says Appropriate Refusal is scored by </w:t>
      </w:r>
      <w:r>
        <w:rPr>
          <w:rFonts w:ascii="Times Roman" w:hAnsi="Times Roman"/>
          <w:b w:val="1"/>
          <w:bCs w:val="1"/>
          <w:rtl w:val="0"/>
          <w:lang w:val="en-US"/>
        </w:rPr>
        <w:t xml:space="preserve">"Layer 2 </w:t>
      </w:r>
      <w:r>
        <w:rPr>
          <w:rFonts w:ascii="Times Roman" w:hAnsi="Times Roman" w:hint="default"/>
          <w:b w:val="1"/>
          <w:bCs w:val="1"/>
          <w:rtl w:val="0"/>
          <w:lang w:val="en-US"/>
        </w:rPr>
        <w:t xml:space="preserve">— </w:t>
      </w:r>
      <w:r>
        <w:rPr>
          <w:rFonts w:ascii="Times Roman" w:hAnsi="Times Roman"/>
          <w:b w:val="1"/>
          <w:bCs w:val="1"/>
          <w:rtl w:val="0"/>
        </w:rPr>
        <w:t>SME"</w:t>
      </w:r>
      <w:r>
        <w:rPr>
          <w:rFonts w:ascii="Times Roman" w:hAnsi="Times Roman"/>
          <w:rtl w:val="0"/>
          <w:lang w:val="en-US"/>
        </w:rPr>
        <w:t xml:space="preserve"> only. However, Appendix A.3 includes an </w:t>
      </w:r>
      <w:r>
        <w:rPr>
          <w:rFonts w:ascii="Times Roman" w:hAnsi="Times Roman"/>
          <w:b w:val="1"/>
          <w:bCs w:val="1"/>
          <w:rtl w:val="0"/>
          <w:lang w:val="en-US"/>
        </w:rPr>
        <w:t>Appropriate Refusal threshold at Layer 1</w:t>
      </w:r>
      <w:r>
        <w:rPr>
          <w:rFonts w:ascii="Times Roman" w:hAnsi="Times Roman"/>
          <w:rtl w:val="0"/>
          <w:lang w:val="en-US"/>
        </w:rPr>
        <w:t xml:space="preserve"> (100% handled correctly). The footnote in A.3 tries to explain this distinction ("Layer 1 only confirms Genie did not produce SQL output... Layer 2 evaluates the quality"), but the A.1 table never mentions Layer 1 having any role in this dimension. An evaluator reading A.1 as their reference would not know to check for appropriate refusal at Layer 1 at all.</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Recommendation:</w:t>
      </w:r>
      <w:r>
        <w:rPr>
          <w:rFonts w:ascii="Times Roman" w:hAnsi="Times Roman"/>
          <w:rtl w:val="0"/>
          <w:lang w:val="en-US"/>
        </w:rPr>
        <w:t xml:space="preserve"> Add a note or row to the A.1 dimension table acknowledging the Layer 1 screening check, so the table is complete and doesn't contradict the threshold tables.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3. Example 2 "How to Read" Calculation </w:t>
      </w:r>
      <w:r>
        <w:rPr>
          <w:rFonts w:ascii="Times Roman" w:hAnsi="Times Roman" w:hint="default"/>
          <w:b w:val="1"/>
          <w:bCs w:val="1"/>
          <w:rtl w:val="0"/>
          <w:lang w:val="en-US"/>
        </w:rPr>
        <w:t xml:space="preserve">— </w:t>
      </w:r>
      <w:r>
        <w:rPr>
          <w:rFonts w:ascii="Times Roman" w:hAnsi="Times Roman"/>
          <w:b w:val="1"/>
          <w:bCs w:val="1"/>
          <w:rtl w:val="0"/>
          <w:lang w:val="en-US"/>
        </w:rPr>
        <w:t>Typo That Produces Wrong Math</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Appendix B.2, Example 2, Layer 2 "How to Read the Calculation" box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Appropriate Refusal calculation reads: </w:t>
      </w:r>
      <w:r>
        <w:rPr>
          <w:rFonts w:ascii="Times Roman" w:hAnsi="Times Roman"/>
          <w:i w:val="1"/>
          <w:iCs w:val="1"/>
          <w:rtl w:val="0"/>
        </w:rPr>
        <w:t xml:space="preserve">"22 </w:t>
      </w:r>
      <w:r>
        <w:rPr>
          <w:rFonts w:ascii="Times Roman" w:hAnsi="Times Roman" w:hint="default"/>
          <w:i w:val="1"/>
          <w:iCs w:val="1"/>
          <w:rtl w:val="0"/>
        </w:rPr>
        <w:t xml:space="preserve">÷ </w:t>
      </w:r>
      <w:r>
        <w:rPr>
          <w:rFonts w:ascii="Times Roman" w:hAnsi="Times Roman"/>
          <w:i w:val="1"/>
          <w:iCs w:val="1"/>
          <w:rtl w:val="0"/>
        </w:rPr>
        <w:t>25 = 100%"</w:t>
      </w:r>
      <w:r>
        <w:rPr>
          <w:rFonts w:ascii="Times Roman" w:hAnsi="Times Roman" w:hint="default"/>
          <w:rtl w:val="0"/>
          <w:lang w:val="en-US"/>
        </w:rPr>
        <w:t xml:space="preserve"> — </w:t>
      </w:r>
      <w:r>
        <w:rPr>
          <w:rFonts w:ascii="Times Roman" w:hAnsi="Times Roman"/>
          <w:rtl w:val="0"/>
          <w:lang w:val="en-US"/>
        </w:rPr>
        <w:t xml:space="preserve">this is plainly wrong. The correct figure is </w:t>
      </w:r>
      <w:r>
        <w:rPr>
          <w:rFonts w:ascii="Times Roman" w:hAnsi="Times Roman"/>
          <w:b w:val="1"/>
          <w:bCs w:val="1"/>
          <w:rtl w:val="0"/>
        </w:rPr>
        <w:t xml:space="preserve">25 </w:t>
      </w:r>
      <w:r>
        <w:rPr>
          <w:rFonts w:ascii="Times Roman" w:hAnsi="Times Roman" w:hint="default"/>
          <w:b w:val="1"/>
          <w:bCs w:val="1"/>
          <w:rtl w:val="0"/>
        </w:rPr>
        <w:t xml:space="preserve">÷ </w:t>
      </w:r>
      <w:r>
        <w:rPr>
          <w:rFonts w:ascii="Times Roman" w:hAnsi="Times Roman"/>
          <w:b w:val="1"/>
          <w:bCs w:val="1"/>
          <w:rtl w:val="0"/>
        </w:rPr>
        <w:t>25 = 100%</w:t>
      </w:r>
      <w:r>
        <w:rPr>
          <w:rFonts w:ascii="Times Roman" w:hAnsi="Times Roman"/>
          <w:rtl w:val="0"/>
          <w:lang w:val="en-US"/>
        </w:rPr>
        <w:t>, which is what the score table above shows (25 responses at floor+). The "22" appears to be a copy-paste error from the Data Value Accuracy row. During training or an audit, a reader checking the math will flag this immediately.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Recommendation:</w:t>
      </w:r>
      <w:r>
        <w:rPr>
          <w:rFonts w:ascii="Times Roman" w:hAnsi="Times Roman"/>
          <w:rtl w:val="0"/>
          <w:lang w:val="en-US"/>
        </w:rPr>
        <w:t xml:space="preserve"> Correct "22 </w:t>
      </w:r>
      <w:r>
        <w:rPr>
          <w:rFonts w:ascii="Times Roman" w:hAnsi="Times Roman" w:hint="default"/>
          <w:rtl w:val="0"/>
        </w:rPr>
        <w:t xml:space="preserve">÷ </w:t>
      </w:r>
      <w:r>
        <w:rPr>
          <w:rFonts w:ascii="Times Roman" w:hAnsi="Times Roman"/>
          <w:rtl w:val="0"/>
          <w:lang w:val="en-US"/>
        </w:rPr>
        <w:t xml:space="preserve">25 = 100%" to "25 </w:t>
      </w:r>
      <w:r>
        <w:rPr>
          <w:rFonts w:ascii="Times Roman" w:hAnsi="Times Roman" w:hint="default"/>
          <w:rtl w:val="0"/>
        </w:rPr>
        <w:t xml:space="preserve">÷ </w:t>
      </w:r>
      <w:r>
        <w:rPr>
          <w:rFonts w:ascii="Times Roman" w:hAnsi="Times Roman"/>
          <w:rtl w:val="0"/>
        </w:rPr>
        <w:t>25 = 100%."</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4. Minimum Tester Count vs. Example 2 Tester Count </w:t>
      </w:r>
      <w:r>
        <w:rPr>
          <w:rFonts w:ascii="Times Roman" w:hAnsi="Times Roman" w:hint="default"/>
          <w:b w:val="1"/>
          <w:bCs w:val="1"/>
          <w:rtl w:val="0"/>
          <w:lang w:val="en-US"/>
        </w:rPr>
        <w:t xml:space="preserve">— </w:t>
      </w:r>
      <w:r>
        <w:rPr>
          <w:rFonts w:ascii="Times Roman" w:hAnsi="Times Roman"/>
          <w:b w:val="1"/>
          <w:bCs w:val="1"/>
          <w:rtl w:val="0"/>
          <w:lang w:val="en-US"/>
        </w:rPr>
        <w:t>Mismatch</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Section 5.4 ("Participant requirements") vs. Appendix B.2 Example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Section 5.4 states the minimum tester count for Medium risk is </w:t>
      </w:r>
      <w:r>
        <w:rPr>
          <w:rFonts w:ascii="Times Roman" w:hAnsi="Times Roman" w:hint="default"/>
          <w:b w:val="1"/>
          <w:bCs w:val="1"/>
          <w:rtl w:val="0"/>
        </w:rPr>
        <w:t>≥</w:t>
      </w:r>
      <w:r>
        <w:rPr>
          <w:rFonts w:ascii="Times Roman" w:hAnsi="Times Roman"/>
          <w:b w:val="1"/>
          <w:bCs w:val="1"/>
          <w:rtl w:val="0"/>
        </w:rPr>
        <w:t>10</w:t>
      </w:r>
      <w:r>
        <w:rPr>
          <w:rFonts w:ascii="Times Roman" w:hAnsi="Times Roman"/>
          <w:rtl w:val="0"/>
          <w:lang w:val="en-US"/>
        </w:rPr>
        <w:t xml:space="preserve">. The Example 2 uses exactly 10 testers, which technically clears the threshold. However, the task list is 18 questions per tester. Section 5.4 says the structured task list should be </w:t>
      </w:r>
      <w:r>
        <w:rPr>
          <w:rFonts w:ascii="Times Roman" w:hAnsi="Times Roman"/>
          <w:b w:val="1"/>
          <w:bCs w:val="1"/>
          <w:rtl w:val="0"/>
          <w:lang w:val="fr-FR"/>
        </w:rPr>
        <w:t>"15-20 questions"</w:t>
      </w:r>
      <w:r>
        <w:rPr>
          <w:rFonts w:ascii="Times Roman" w:hAnsi="Times Roman" w:hint="default"/>
          <w:rtl w:val="0"/>
          <w:lang w:val="en-US"/>
        </w:rPr>
        <w:t xml:space="preserve"> — </w:t>
      </w:r>
      <w:r>
        <w:rPr>
          <w:rFonts w:ascii="Times Roman" w:hAnsi="Times Roman"/>
          <w:rtl w:val="0"/>
          <w:lang w:val="en-US"/>
        </w:rPr>
        <w:t xml:space="preserve">so 18 is fine. This isn't a flaw on its own, but the threshold table in A.5 sets the </w:t>
      </w:r>
      <w:r>
        <w:rPr>
          <w:rFonts w:ascii="Times Roman" w:hAnsi="Times Roman"/>
          <w:b w:val="1"/>
          <w:bCs w:val="1"/>
          <w:rtl w:val="0"/>
          <w:lang w:val="en-US"/>
        </w:rPr>
        <w:t>tester task completion rate</w:t>
      </w:r>
      <w:r>
        <w:rPr>
          <w:rFonts w:ascii="Times Roman" w:hAnsi="Times Roman"/>
          <w:rtl w:val="0"/>
          <w:lang w:val="en-US"/>
        </w:rPr>
        <w:t xml:space="preserve"> threshold for Medium at </w:t>
      </w:r>
      <w:r>
        <w:rPr>
          <w:rFonts w:ascii="Times Roman" w:hAnsi="Times Roman" w:hint="default"/>
          <w:rtl w:val="0"/>
        </w:rPr>
        <w:t>≥</w:t>
      </w:r>
      <w:r>
        <w:rPr>
          <w:rFonts w:ascii="Times Roman" w:hAnsi="Times Roman"/>
          <w:rtl w:val="0"/>
          <w:lang w:val="en-US"/>
        </w:rPr>
        <w:t xml:space="preserve">90% completed all tasks. With only 10 testers, one person failing to complete would drop the rate to 90% </w:t>
      </w:r>
      <w:r>
        <w:rPr>
          <w:rFonts w:ascii="Times Roman" w:hAnsi="Times Roman" w:hint="default"/>
          <w:rtl w:val="0"/>
          <w:lang w:val="en-US"/>
        </w:rPr>
        <w:t xml:space="preserve">— </w:t>
      </w:r>
      <w:r>
        <w:rPr>
          <w:rFonts w:ascii="Times Roman" w:hAnsi="Times Roman"/>
          <w:rtl w:val="0"/>
          <w:lang w:val="en-US"/>
        </w:rPr>
        <w:t>exactly at threshold, not above it. The example shows 100%, so it passes, but the framing gives no guidance on what happens when tester count is at the floor and completion is borderline. Worth flagging as a gap for evaluators.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5. Clarity &amp; Interpretability </w:t>
      </w:r>
      <w:r>
        <w:rPr>
          <w:rFonts w:ascii="Times Roman" w:hAnsi="Times Roman" w:hint="default"/>
          <w:b w:val="1"/>
          <w:bCs w:val="1"/>
          <w:rtl w:val="0"/>
          <w:lang w:val="en-US"/>
        </w:rPr>
        <w:t xml:space="preserve">— </w:t>
      </w:r>
      <w:r>
        <w:rPr>
          <w:rFonts w:ascii="Times Roman" w:hAnsi="Times Roman"/>
          <w:b w:val="1"/>
          <w:bCs w:val="1"/>
          <w:rtl w:val="0"/>
          <w:lang w:val="en-US"/>
        </w:rPr>
        <w:t>Conflicting Priority Rules in A.7</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da-DK"/>
        </w:rPr>
        <w:t xml:space="preserve"> Appendix A.7, Layer 3 Dimension Priority (Tertiary </w:t>
      </w:r>
      <w:r>
        <w:rPr>
          <w:rFonts w:ascii="Times Roman" w:hAnsi="Times Roman" w:hint="default"/>
          <w:rtl w:val="0"/>
          <w:lang w:val="en-US"/>
        </w:rPr>
        <w:t xml:space="preserve">— </w:t>
      </w:r>
      <w:r>
        <w:rPr>
          <w:rFonts w:ascii="Times Roman" w:hAnsi="Times Roman"/>
          <w:rtl w:val="0"/>
          <w:lang w:val="en-US"/>
        </w:rPr>
        <w:t>Clarity &amp; Interpretability)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priority table states a Clarity failure alone "doesn't necessarily block deployment if task completion and usefulness pass their thresholds" and suggests better user training as a possible remedy. However, the threshold framework in A.5 is explicit that </w:t>
      </w:r>
      <w:r>
        <w:rPr>
          <w:rFonts w:ascii="Times Roman" w:hAnsi="Times Roman"/>
          <w:b w:val="1"/>
          <w:bCs w:val="1"/>
          <w:rtl w:val="0"/>
          <w:lang w:val="en-US"/>
        </w:rPr>
        <w:t>all three dimensions must clear their thresholds independently</w:t>
      </w:r>
      <w:r>
        <w:rPr>
          <w:rFonts w:ascii="Times Roman" w:hAnsi="Times Roman"/>
          <w:rtl w:val="0"/>
          <w:lang w:val="en-US"/>
        </w:rPr>
        <w:t xml:space="preserve"> (confirmed in Section 5.4: "All three dimensions must clear their thresholds independently"). These two statements create a logical contradiction </w:t>
      </w:r>
      <w:r>
        <w:rPr>
          <w:rFonts w:ascii="Times Roman" w:hAnsi="Times Roman" w:hint="default"/>
          <w:rtl w:val="0"/>
          <w:lang w:val="en-US"/>
        </w:rPr>
        <w:t xml:space="preserve">— </w:t>
      </w:r>
      <w:r>
        <w:rPr>
          <w:rFonts w:ascii="Times Roman" w:hAnsi="Times Roman"/>
          <w:rtl w:val="0"/>
          <w:lang w:val="en-US"/>
        </w:rPr>
        <w:t>a dimension that "doesn't necessarily block deployment" when it fails is not, in practice, an independent gate.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Recommendation:</w:t>
      </w:r>
      <w:r>
        <w:rPr>
          <w:rFonts w:ascii="Times Roman" w:hAnsi="Times Roman"/>
          <w:rtl w:val="0"/>
          <w:lang w:val="en-US"/>
        </w:rPr>
        <w:t xml:space="preserve"> Clarify that Clarity must clear its threshold to pass the gate, but that the </w:t>
      </w:r>
      <w:r>
        <w:rPr>
          <w:rFonts w:ascii="Times Roman" w:hAnsi="Times Roman"/>
          <w:i w:val="1"/>
          <w:iCs w:val="1"/>
          <w:rtl w:val="0"/>
          <w:lang w:val="en-US"/>
        </w:rPr>
        <w:t>remediation path</w:t>
      </w:r>
      <w:r>
        <w:rPr>
          <w:rFonts w:ascii="Times Roman" w:hAnsi="Times Roman"/>
          <w:rtl w:val="0"/>
          <w:lang w:val="en-US"/>
        </w:rPr>
        <w:t xml:space="preserve"> for a Clarity failure is different (training/metadata vs. SQL redesign). The current wording implies evaluators have discretion to waive a Clarity threshold failure, which contradicts the gate structure.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6. Layer 3 Task List Question Count </w:t>
      </w:r>
      <w:r>
        <w:rPr>
          <w:rFonts w:ascii="Times Roman" w:hAnsi="Times Roman" w:hint="default"/>
          <w:b w:val="1"/>
          <w:bCs w:val="1"/>
          <w:rtl w:val="0"/>
          <w:lang w:val="en-US"/>
        </w:rPr>
        <w:t xml:space="preserve">— </w:t>
      </w:r>
      <w:r>
        <w:rPr>
          <w:rFonts w:ascii="Times Roman" w:hAnsi="Times Roman"/>
          <w:b w:val="1"/>
          <w:bCs w:val="1"/>
          <w:rtl w:val="0"/>
          <w:lang w:val="en-US"/>
        </w:rPr>
        <w:t>Two Different Ranges Stated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Section 5.1 process table vs. Section 5.4 discussion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Layer 3 row in the process table (Section 5.1) states the structured task list is </w:t>
      </w:r>
      <w:r>
        <w:rPr>
          <w:rFonts w:ascii="Times Roman" w:hAnsi="Times Roman"/>
          <w:b w:val="1"/>
          <w:bCs w:val="1"/>
          <w:rtl w:val="0"/>
          <w:lang w:val="en-US"/>
        </w:rPr>
        <w:t>"15-20 questions drawn from space charter."</w:t>
      </w:r>
      <w:r>
        <w:rPr>
          <w:rFonts w:ascii="Times Roman" w:hAnsi="Times Roman"/>
          <w:rtl w:val="0"/>
          <w:lang w:val="en-US"/>
        </w:rPr>
        <w:t xml:space="preserve"> Section 5.4 repeats this same range. The worked example uses 18 questions, which fits. However, the Layer 1 benchmark question set (Section 5.2) says the space charter contributes </w:t>
      </w:r>
      <w:r>
        <w:rPr>
          <w:rFonts w:ascii="Times Roman" w:hAnsi="Times Roman"/>
          <w:b w:val="1"/>
          <w:bCs w:val="1"/>
          <w:rtl w:val="0"/>
          <w:lang w:val="en-US"/>
        </w:rPr>
        <w:t>"10-20 questions collected during charter development"</w:t>
      </w:r>
      <w:r>
        <w:rPr>
          <w:rFonts w:ascii="Times Roman" w:hAnsi="Times Roman" w:hint="default"/>
          <w:rtl w:val="0"/>
          <w:lang w:val="en-US"/>
        </w:rPr>
        <w:t xml:space="preserve"> — </w:t>
      </w:r>
      <w:r>
        <w:rPr>
          <w:rFonts w:ascii="Times Roman" w:hAnsi="Times Roman"/>
          <w:rtl w:val="0"/>
          <w:lang w:val="en-US"/>
        </w:rPr>
        <w:t>meaning a Low-risk space with only 10 charter questions could struggle to build a 15-question Layer 3 task list solely from charter questions if the developer hasn't added enough variations. The document doesn't address this scenario.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 xml:space="preserve">7. "Subject Expert Matter" </w:t>
      </w:r>
      <w:r>
        <w:rPr>
          <w:rFonts w:ascii="Times Roman" w:hAnsi="Times Roman" w:hint="default"/>
          <w:b w:val="1"/>
          <w:bCs w:val="1"/>
          <w:rtl w:val="0"/>
          <w:lang w:val="en-US"/>
        </w:rPr>
        <w:t xml:space="preserve">— </w:t>
      </w:r>
      <w:r>
        <w:rPr>
          <w:rFonts w:ascii="Times Roman" w:hAnsi="Times Roman"/>
          <w:b w:val="1"/>
          <w:bCs w:val="1"/>
          <w:rtl w:val="0"/>
          <w:lang w:val="en-US"/>
        </w:rPr>
        <w:t>Terminology Inconsistency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Where:</w:t>
      </w:r>
      <w:r>
        <w:rPr>
          <w:rFonts w:ascii="Times Roman" w:hAnsi="Times Roman"/>
          <w:rtl w:val="0"/>
          <w:lang w:val="en-US"/>
        </w:rPr>
        <w:t xml:space="preserve"> Section 5.1 process table, Layer 2 row header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table labels Layer 2 as </w:t>
      </w:r>
      <w:r>
        <w:rPr>
          <w:rFonts w:ascii="Times Roman" w:hAnsi="Times Roman"/>
          <w:b w:val="1"/>
          <w:bCs w:val="1"/>
          <w:rtl w:val="0"/>
          <w:lang w:val="en-US"/>
        </w:rPr>
        <w:t>"Subject Expert Matter Structured Review"</w:t>
      </w:r>
      <w:r>
        <w:rPr>
          <w:rFonts w:ascii="Times Roman" w:hAnsi="Times Roman" w:hint="default"/>
          <w:rtl w:val="0"/>
          <w:lang w:val="en-US"/>
        </w:rPr>
        <w:t xml:space="preserve"> — </w:t>
      </w:r>
      <w:r>
        <w:rPr>
          <w:rFonts w:ascii="Times Roman" w:hAnsi="Times Roman"/>
          <w:rtl w:val="0"/>
          <w:lang w:val="en-US"/>
        </w:rPr>
        <w:t>this is an inversion of the standard phrase "Subject Matter Expert." Every other reference in the document (Section 5.3, the term definitions table in Section 4) uses the correct "Subject Matter Expert (SME)" terminology. This appears to be a drafting error that could cause confusion in formal documentation or audit reviews.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Summary Table</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
        <w:gridCol w:w="5438"/>
        <w:gridCol w:w="1605"/>
        <w:gridCol w:w="2150"/>
      </w:tblGrid>
      <w:tr>
        <w:tblPrEx>
          <w:shd w:val="clear" w:color="auto" w:fill="auto"/>
        </w:tblPrEx>
        <w:trPr>
          <w:trHeight w:val="360"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Issue</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Location</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Severity</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Pass rate denominator unclear in worked example</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Sec. 5.2, App. B.2</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Medium</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Appropriate Refusal in A.1 table omits Layer 1 role</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 A.1 vs A.3</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Medium</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 xml:space="preserve">Arithmetic typo </w:t>
            </w:r>
            <w:r>
              <w:rPr>
                <w:rFonts w:ascii="Times Roman" w:hAnsi="Times Roman" w:hint="default"/>
                <w:sz w:val="24"/>
                <w:szCs w:val="24"/>
                <w:rtl w:val="0"/>
              </w:rPr>
              <w:t xml:space="preserve">— </w:t>
            </w:r>
            <w:r>
              <w:rPr>
                <w:rFonts w:ascii="Times Roman" w:hAnsi="Times Roman"/>
                <w:sz w:val="24"/>
                <w:szCs w:val="24"/>
                <w:rtl w:val="0"/>
              </w:rPr>
              <w:t xml:space="preserve">"22 </w:t>
            </w:r>
            <w:r>
              <w:rPr>
                <w:rFonts w:ascii="Times Roman" w:hAnsi="Times Roman" w:hint="default"/>
                <w:sz w:val="24"/>
                <w:szCs w:val="24"/>
                <w:rtl w:val="0"/>
              </w:rPr>
              <w:t xml:space="preserve">÷ </w:t>
            </w:r>
            <w:r>
              <w:rPr>
                <w:rFonts w:ascii="Times Roman" w:hAnsi="Times Roman"/>
                <w:sz w:val="24"/>
                <w:szCs w:val="24"/>
                <w:rtl w:val="0"/>
              </w:rPr>
              <w:t>25 = 100%"</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 B.2 Example 2</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High (audit risk)</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Clarity dimension described as non-blocking but is an independent gate</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 A.7 vs Sec. 5.4</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High (logical contradiction)</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Tester floor count + completion rate creates borderline ambiguity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Sec. 5.4, App. A.5</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w:t>
            </w:r>
          </w:p>
        </w:tc>
      </w:tr>
      <w:tr>
        <w:tblPrEx>
          <w:shd w:val="clear" w:color="auto" w:fill="auto"/>
        </w:tblPrEx>
        <w:trPr>
          <w:trHeight w:val="567"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Charter question count vs. Layer 3 task list minimum gap</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Sec. 5.2 vs 5.4</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w:t>
            </w:r>
          </w:p>
        </w:tc>
      </w:tr>
      <w:tr>
        <w:tblPrEx>
          <w:shd w:val="clear" w:color="auto" w:fill="auto"/>
        </w:tblPrEx>
        <w:trPr>
          <w:trHeight w:val="360" w:hRule="atLeast"/>
        </w:trPr>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w:t>
            </w:r>
          </w:p>
        </w:tc>
        <w:tc>
          <w:tcPr>
            <w:tcW w:type="dxa" w:w="5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"Subject Expert Matter" terminology inversion</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Sec. 5.1 table</w:t>
            </w:r>
          </w:p>
        </w:tc>
        <w:tc>
          <w:tcPr>
            <w:tcW w:type="dxa" w:w="21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Low</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Times Roman" w:hAnsi="Times Roman"/>
          <w:rtl w:val="0"/>
          <w:lang w:val="en-US"/>
        </w:rPr>
        <w:t xml:space="preserve">The most important to fix before this document is used in an actual evaluation are </w:t>
      </w:r>
      <w:r>
        <w:rPr>
          <w:rFonts w:ascii="Times Roman" w:hAnsi="Times Roman"/>
          <w:b w:val="1"/>
          <w:bCs w:val="1"/>
          <w:rtl w:val="0"/>
        </w:rPr>
        <w:t>#3</w:t>
      </w:r>
      <w:r>
        <w:rPr>
          <w:rFonts w:ascii="Times Roman" w:hAnsi="Times Roman"/>
          <w:rtl w:val="0"/>
          <w:lang w:val="en-US"/>
        </w:rPr>
        <w:t xml:space="preserve"> (the arithmetic typo will undermine credibility in an audit) and </w:t>
      </w:r>
      <w:r>
        <w:rPr>
          <w:rFonts w:ascii="Times Roman" w:hAnsi="Times Roman"/>
          <w:b w:val="1"/>
          <w:bCs w:val="1"/>
          <w:rtl w:val="0"/>
        </w:rPr>
        <w:t>#4</w:t>
      </w:r>
      <w:r>
        <w:rPr>
          <w:rFonts w:ascii="Times Roman" w:hAnsi="Times Roman"/>
          <w:rtl w:val="0"/>
          <w:lang w:val="en-US"/>
        </w:rPr>
        <w:t xml:space="preserve"> (the Clarity contradiction could lead evaluators to incorrectly waive a gate failure). Would you like help drafting revised language for any of these?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