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864"/>
          <w:sz w:val="36"/>
          <w:szCs w:val="36"/>
        </w:rPr>
        <w:t xml:space="preserve">Supplementary References</w:t>
      </w:r>
    </w:p>
    <w:p>
      <w:pPr>
        <w:spacing w:after="80" w:before="0"/>
      </w:pPr>
      <w:r>
        <w:rPr>
          <w:rFonts w:ascii="Arial" w:cs="Arial" w:eastAsia="Arial" w:hAnsi="Arial"/>
          <w:i/>
          <w:iCs/>
          <w:color w:val="595959"/>
          <w:sz w:val="22"/>
          <w:szCs w:val="22"/>
        </w:rPr>
        <w:t xml:space="preserve">Sources Cited in Chatbot Evaluation Discussions  |  May 2026</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20"/>
            </w:tcMar>
          </w:tcPr>
          <w:p>
            <w:pPr>
              <w:spacing w:after="60" w:before="0"/>
            </w:pPr>
            <w:r>
              <w:rPr>
                <w:rFonts w:ascii="Arial" w:cs="Arial" w:eastAsia="Arial" w:hAnsi="Arial"/>
                <w:b/>
                <w:bCs/>
                <w:color w:val="FFFFFF"/>
                <w:sz w:val="18"/>
                <w:szCs w:val="18"/>
              </w:rPr>
              <w:t xml:space="preserve">ACADEMIC PEER-REVIEWED</w:t>
            </w:r>
          </w:p>
          <w:p>
            <w:pPr>
              <w:spacing w:after="0" w:before="0"/>
            </w:pPr>
            <w:r>
              <w:rPr>
                <w:rFonts w:ascii="Arial" w:cs="Arial" w:eastAsia="Arial" w:hAnsi="Arial"/>
                <w:color w:val="FFFFFF"/>
                <w:sz w:val="18"/>
                <w:szCs w:val="18"/>
              </w:rPr>
              <w:t xml:space="preserve">Published in peer-reviewed venues (NeurIPS, TMLR, arXiv). Highest evidentiary standard. Suitable for auditor citation as primary research basis.</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20"/>
            </w:tcMar>
          </w:tcPr>
          <w:p>
            <w:pPr>
              <w:spacing w:after="60" w:before="0"/>
            </w:pPr>
            <w:r>
              <w:rPr>
                <w:rFonts w:ascii="Arial" w:cs="Arial" w:eastAsia="Arial" w:hAnsi="Arial"/>
                <w:b/>
                <w:bCs/>
                <w:color w:val="FFFFFF"/>
                <w:sz w:val="18"/>
                <w:szCs w:val="18"/>
              </w:rPr>
              <w:t xml:space="preserve">APPLIED INDUSTRY</w:t>
            </w:r>
          </w:p>
          <w:p>
            <w:pPr>
              <w:spacing w:after="0" w:before="0"/>
            </w:pPr>
            <w:r>
              <w:rPr>
                <w:rFonts w:ascii="Arial" w:cs="Arial" w:eastAsia="Arial" w:hAnsi="Arial"/>
                <w:color w:val="FFFFFF"/>
                <w:sz w:val="18"/>
                <w:szCs w:val="18"/>
              </w:rPr>
              <w:t xml:space="preserve">Published by recognised vendors, platforms, or industry bodies. Strong practitioner evidence. Suitable for citing established practice and benchmarks.</w:t>
            </w:r>
          </w:p>
        </w:tc>
        <w:tc>
          <w:tcPr>
            <w:tcW w:type="dxa" w:w="312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20"/>
            </w:tcMar>
          </w:tcPr>
          <w:p>
            <w:pPr>
              <w:spacing w:after="60" w:before="0"/>
            </w:pPr>
            <w:r>
              <w:rPr>
                <w:rFonts w:ascii="Arial" w:cs="Arial" w:eastAsia="Arial" w:hAnsi="Arial"/>
                <w:b/>
                <w:bCs/>
                <w:color w:val="FFFFFF"/>
                <w:sz w:val="18"/>
                <w:szCs w:val="18"/>
              </w:rPr>
              <w:t xml:space="preserve">INDUSTRY GOVERNANCE</w:t>
            </w:r>
          </w:p>
          <w:p>
            <w:pPr>
              <w:spacing w:after="0" w:before="0"/>
            </w:pPr>
            <w:r>
              <w:rPr>
                <w:rFonts w:ascii="Arial" w:cs="Arial" w:eastAsia="Arial" w:hAnsi="Arial"/>
                <w:color w:val="FFFFFF"/>
                <w:sz w:val="18"/>
                <w:szCs w:val="18"/>
              </w:rPr>
              <w:t xml:space="preserve">Published by governance/standards bodies (ISACA, ValidMind). Suitable for risk management and compliance framework citation.</w:t>
            </w:r>
          </w:p>
        </w:tc>
      </w:tr>
    </w:tbl>
    <w:p>
      <w:pPr>
        <w:spacing w:after="12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0"/>
            </w:pPr>
            <w:r>
              <w:rPr>
                <w:rFonts w:ascii="Arial" w:cs="Arial" w:eastAsia="Arial" w:hAnsi="Arial"/>
                <w:b/>
                <w:bCs/>
                <w:sz w:val="20"/>
                <w:szCs w:val="20"/>
              </w:rPr>
              <w:t xml:space="preserve">Verification status: </w:t>
            </w:r>
            <w:r>
              <w:rPr>
                <w:rFonts w:ascii="Arial" w:cs="Arial" w:eastAsia="Arial" w:hAnsi="Arial"/>
                <w:sz w:val="20"/>
                <w:szCs w:val="20"/>
              </w:rPr>
              <w:t xml:space="preserve">The Nielsen Norman Group references (Sauro, Pernice) have been verified against their cited article URLs. The Zhao, Rush &amp; Goyal (2024) Cornell paper has been verified against its arXiv abstract; author Cornell affiliations verified against individual faculty profiles. The Pasch (2025) refusal penalty finding has been verified via arXiv abstract and corroborating secondary sources. The 85% enterprise accuracy benchmark is cited via three independently corroborating industry sources (Fullview 2025, Dialzara 2025, PeakSupport 2024) rather than a single Gartner attribution, which could not be independently verified without a subscription. URLs verified May 2026.</w:t>
            </w:r>
          </w:p>
        </w:tc>
      </w:tr>
    </w:tbl>
    <w:p>
      <w:pPr>
        <w:spacing w:after="80" w:before="160"/>
      </w:pPr>
      <w:r>
        <w:t xml:space="preserve"/>
      </w:r>
    </w:p>
    <w:p>
      <w:pPr>
        <w:pStyle w:val="Heading2"/>
        <w:spacing w:after="100" w:before="200"/>
      </w:pPr>
      <w:r>
        <w:rPr>
          <w:rFonts w:ascii="Arial" w:cs="Arial" w:eastAsia="Arial" w:hAnsi="Arial"/>
          <w:b/>
          <w:bCs/>
          <w:color w:val="2E75B6"/>
          <w:sz w:val="22"/>
          <w:szCs w:val="22"/>
        </w:rPr>
        <w:t xml:space="preserve">Part 1: Sample Size and A/B Testing Methodology</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120"/>
              <w:left w:type="dxa" w:w="140"/>
              <w:bottom w:type="dxa" w:w="120"/>
              <w:right w:type="dxa" w:w="100"/>
            </w:tcMar>
            <w:vAlign w:val="top"/>
          </w:tcPr>
          <w:p>
            <w:pPr>
              <w:spacing w:after="60" w:before="0"/>
            </w:pPr>
            <w:r>
              <w:rPr>
                <w:rFonts w:ascii="Arial" w:cs="Arial" w:eastAsia="Arial" w:hAnsi="Arial"/>
                <w:b/>
                <w:bCs/>
                <w:color w:val="FFFFFF"/>
                <w:sz w:val="16"/>
                <w:szCs w:val="16"/>
              </w:rPr>
              <w:t xml:space="preserve">APPLIED INDUSTRY</w:t>
            </w:r>
          </w:p>
          <w:p>
            <w:pPr>
              <w:spacing w:after="60" w:before="0"/>
            </w:pPr>
            <w:r>
              <w:rPr>
                <w:rFonts w:ascii="Arial" w:cs="Arial" w:eastAsia="Arial" w:hAnsi="Arial"/>
                <w:b/>
                <w:bCs/>
                <w:color w:val="FFFFFF"/>
                <w:sz w:val="18"/>
                <w:szCs w:val="18"/>
              </w:rPr>
              <w:t xml:space="preserve">Nielsen Norman Group</w:t>
            </w:r>
          </w:p>
          <w:p>
            <w:pPr>
              <w:spacing w:after="0" w:before="0"/>
            </w:pPr>
            <w:r>
              <w:rPr>
                <w:rFonts w:ascii="Arial" w:cs="Arial" w:eastAsia="Arial" w:hAnsi="Arial"/>
                <w:color w:val="FFFFFF"/>
                <w:sz w:val="18"/>
                <w:szCs w:val="18"/>
              </w:rPr>
              <w:t xml:space="preserve">2012 (updated 2024)</w:t>
            </w:r>
          </w:p>
        </w:tc>
        <w:tc>
          <w:tcPr>
            <w:tcW w:type="dxa" w:w="7760"/>
            <w:tcBorders>
              <w:top w:val="single" w:color="CCCCCC" w:sz="1"/>
              <w:left w:val="thick" w:color="2E75B6" w:sz="12"/>
              <w:bottom w:val="single" w:color="CCCCCC" w:sz="1"/>
              <w:right w:val="single" w:color="CCCCCC" w:sz="1"/>
            </w:tcBorders>
            <w:shd w:fill="FFFFFF" w:val="clear"/>
            <w:tcMar>
              <w:top w:type="dxa" w:w="120"/>
              <w:left w:type="dxa" w:w="180"/>
              <w:bottom w:type="dxa" w:w="120"/>
              <w:right w:type="dxa" w:w="120"/>
            </w:tcMar>
          </w:tcPr>
          <w:p>
            <w:pPr>
              <w:spacing w:after="80" w:before="0"/>
            </w:pPr>
            <w:r>
              <w:rPr>
                <w:rFonts w:ascii="Arial" w:cs="Arial" w:eastAsia="Arial" w:hAnsi="Arial"/>
                <w:b/>
                <w:bCs/>
                <w:sz w:val="20"/>
                <w:szCs w:val="20"/>
              </w:rPr>
              <w:t xml:space="preserve">How Many Participants for Quantitative Usability Studies: A Summary of Sample-Size Recommendations</w:t>
            </w:r>
          </w:p>
          <w:p>
            <w:pPr>
              <w:spacing w:after="40" w:before="60"/>
            </w:pPr>
            <w:r>
              <w:rPr>
                <w:rFonts w:ascii="Arial" w:cs="Arial" w:eastAsia="Arial" w:hAnsi="Arial"/>
                <w:b/>
                <w:bCs/>
                <w:sz w:val="20"/>
                <w:szCs w:val="20"/>
              </w:rPr>
              <w:t xml:space="preserve">What this supports: </w:t>
            </w:r>
            <w:r>
              <w:rPr>
                <w:rFonts w:ascii="Arial" w:cs="Arial" w:eastAsia="Arial" w:hAnsi="Arial"/>
                <w:sz w:val="20"/>
                <w:szCs w:val="20"/>
              </w:rPr>
              <w:t xml:space="preserve">PRIMARY SOURCE — Minimum tester recommendation for quantitative evaluation. States that 40 participants is an appropriate number for most quantitative studies to achieve a 15% margin of error at a 95% confidence level for metrics such as task success rate, task time, and satisfaction scores. Also acknowledges that recommendations ranging from 20 to 40+ users exist in the literature and that the exact number can vary depending on specific metrics and acceptable margin of error.</w:t>
            </w:r>
          </w:p>
          <w:p>
            <w:pPr>
              <w:spacing w:after="40" w:before="40"/>
            </w:pPr>
            <w:r>
              <w:rPr>
                <w:rFonts w:ascii="Arial" w:cs="Arial" w:eastAsia="Arial" w:hAnsi="Arial"/>
                <w:b/>
                <w:bCs/>
                <w:sz w:val="20"/>
                <w:szCs w:val="20"/>
              </w:rPr>
              <w:t xml:space="preserve">Verification: </w:t>
            </w:r>
            <w:r>
              <w:rPr>
                <w:rFonts w:ascii="Arial" w:cs="Arial" w:eastAsia="Arial" w:hAnsi="Arial"/>
                <w:sz w:val="20"/>
                <w:szCs w:val="20"/>
              </w:rPr>
              <w:t xml:space="preserve">VERIFIED: URL resolves to live NNG article. The 40-participant recommendation and 15% margin of error figure are confirmed in the article content.</w:t>
            </w:r>
          </w:p>
          <w:p>
            <w:pPr>
              <w:spacing w:after="40" w:before="40"/>
            </w:pPr>
            <w:r>
              <w:rPr>
                <w:rFonts w:ascii="Arial" w:cs="Arial" w:eastAsia="Arial" w:hAnsi="Arial"/>
                <w:b/>
                <w:bCs/>
                <w:sz w:val="20"/>
                <w:szCs w:val="20"/>
              </w:rPr>
              <w:t xml:space="preserve">Access: </w:t>
            </w:r>
            <w:hyperlink w:history="1" r:id="rIdvqccgm_8xm3g6pddz_d35">
              <w:r>
                <w:rPr>
                  <w:rFonts w:ascii="Arial" w:cs="Arial" w:eastAsia="Arial" w:hAnsi="Arial"/>
                  <w:color w:val="2E75B6"/>
                  <w:sz w:val="20"/>
                  <w:szCs w:val="20"/>
                  <w:u w:val="single"/>
                </w:rPr>
                <w:t xml:space="preserve">https://www.nngroup.com/articles/summary-quant-sample-sizes/</w:t>
              </w:r>
            </w:hyperlink>
          </w:p>
          <w:p>
            <w:pPr>
              <w:spacing w:after="0" w:before="40"/>
            </w:pPr>
            <w:r>
              <w:rPr>
                <w:rFonts w:ascii="Arial" w:cs="Arial" w:eastAsia="Arial" w:hAnsi="Arial"/>
                <w:b/>
                <w:bCs/>
                <w:sz w:val="20"/>
                <w:szCs w:val="20"/>
              </w:rPr>
              <w:t xml:space="preserve">Full citation: </w:t>
            </w:r>
            <w:r>
              <w:rPr>
                <w:rFonts w:ascii="Arial" w:cs="Arial" w:eastAsia="Arial" w:hAnsi="Arial"/>
                <w:i/>
                <w:iCs/>
                <w:sz w:val="20"/>
                <w:szCs w:val="20"/>
              </w:rPr>
              <w:t xml:space="preserve">Sauro, J. (Nielsen Norman Group). How Many Participants for Quantitative Usability Studies: A Summary of Sample-Size Recommendations. Nielsen Norman Group. https://www.nngroup.com/articles/summary-quant-sample-sizes/</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120"/>
              <w:left w:type="dxa" w:w="140"/>
              <w:bottom w:type="dxa" w:w="120"/>
              <w:right w:type="dxa" w:w="100"/>
            </w:tcMar>
            <w:vAlign w:val="top"/>
          </w:tcPr>
          <w:p>
            <w:pPr>
              <w:spacing w:after="60" w:before="0"/>
            </w:pPr>
            <w:r>
              <w:rPr>
                <w:rFonts w:ascii="Arial" w:cs="Arial" w:eastAsia="Arial" w:hAnsi="Arial"/>
                <w:b/>
                <w:bCs/>
                <w:color w:val="FFFFFF"/>
                <w:sz w:val="16"/>
                <w:szCs w:val="16"/>
              </w:rPr>
              <w:t xml:space="preserve">APPLIED INDUSTRY</w:t>
            </w:r>
          </w:p>
          <w:p>
            <w:pPr>
              <w:spacing w:after="60" w:before="0"/>
            </w:pPr>
            <w:r>
              <w:rPr>
                <w:rFonts w:ascii="Arial" w:cs="Arial" w:eastAsia="Arial" w:hAnsi="Arial"/>
                <w:b/>
                <w:bCs/>
                <w:color w:val="FFFFFF"/>
                <w:sz w:val="18"/>
                <w:szCs w:val="18"/>
              </w:rPr>
              <w:t xml:space="preserve">Nielsen Norman Group</w:t>
            </w:r>
          </w:p>
          <w:p>
            <w:pPr>
              <w:spacing w:after="0" w:before="0"/>
            </w:pPr>
            <w:r>
              <w:rPr>
                <w:rFonts w:ascii="Arial" w:cs="Arial" w:eastAsia="Arial" w:hAnsi="Arial"/>
                <w:color w:val="FFFFFF"/>
                <w:sz w:val="18"/>
                <w:szCs w:val="18"/>
              </w:rPr>
              <w:t xml:space="preserve">2000 (updated 2023)</w:t>
            </w:r>
          </w:p>
        </w:tc>
        <w:tc>
          <w:tcPr>
            <w:tcW w:type="dxa" w:w="7760"/>
            <w:tcBorders>
              <w:top w:val="single" w:color="CCCCCC" w:sz="1"/>
              <w:left w:val="thick" w:color="2E75B6" w:sz="12"/>
              <w:bottom w:val="single" w:color="CCCCCC" w:sz="1"/>
              <w:right w:val="single" w:color="CCCCCC" w:sz="1"/>
            </w:tcBorders>
            <w:shd w:fill="FFFFFF" w:val="clear"/>
            <w:tcMar>
              <w:top w:type="dxa" w:w="120"/>
              <w:left w:type="dxa" w:w="180"/>
              <w:bottom w:type="dxa" w:w="120"/>
              <w:right w:type="dxa" w:w="120"/>
            </w:tcMar>
          </w:tcPr>
          <w:p>
            <w:pPr>
              <w:spacing w:after="80" w:before="0"/>
            </w:pPr>
            <w:r>
              <w:rPr>
                <w:rFonts w:ascii="Arial" w:cs="Arial" w:eastAsia="Arial" w:hAnsi="Arial"/>
                <w:b/>
                <w:bCs/>
                <w:sz w:val="20"/>
                <w:szCs w:val="20"/>
              </w:rPr>
              <w:t xml:space="preserve">Why You Only Need to Test with 5 Users</w:t>
            </w:r>
          </w:p>
          <w:p>
            <w:pPr>
              <w:spacing w:after="40" w:before="60"/>
            </w:pPr>
            <w:r>
              <w:rPr>
                <w:rFonts w:ascii="Arial" w:cs="Arial" w:eastAsia="Arial" w:hAnsi="Arial"/>
                <w:b/>
                <w:bCs/>
                <w:sz w:val="20"/>
                <w:szCs w:val="20"/>
              </w:rPr>
              <w:t xml:space="preserve">What this supports: </w:t>
            </w:r>
            <w:r>
              <w:rPr>
                <w:rFonts w:ascii="Arial" w:cs="Arial" w:eastAsia="Arial" w:hAnsi="Arial"/>
                <w:sz w:val="20"/>
                <w:szCs w:val="20"/>
              </w:rPr>
              <w:t xml:space="preserve">QUALITATIVE TESTING BASELINE — The foundational source for the 5-user guideline in qualitative usability testing. Establishes that testing with 5 participants identifies approximately 85% of usability problems, and that the 3–7 participant range delivers the best return on investment for qualitative issue discovery. Cited to distinguish the qualitative evaluation baseline from the quantitative 40+ participant recommendation that applies to rigorous comparative evaluation.</w:t>
            </w:r>
          </w:p>
          <w:p>
            <w:pPr>
              <w:spacing w:after="40" w:before="40"/>
            </w:pPr>
            <w:r>
              <w:rPr>
                <w:rFonts w:ascii="Arial" w:cs="Arial" w:eastAsia="Arial" w:hAnsi="Arial"/>
                <w:b/>
                <w:bCs/>
                <w:sz w:val="20"/>
                <w:szCs w:val="20"/>
              </w:rPr>
              <w:t xml:space="preserve">Verification: </w:t>
            </w:r>
            <w:r>
              <w:rPr>
                <w:rFonts w:ascii="Arial" w:cs="Arial" w:eastAsia="Arial" w:hAnsi="Arial"/>
                <w:sz w:val="20"/>
                <w:szCs w:val="20"/>
              </w:rPr>
              <w:t xml:space="preserve">APPLIED INDUSTRY SOURCE — NNG publication. The 5-user and 85% figures are well-established in the usability literature and widely corroborated.</w:t>
            </w:r>
          </w:p>
          <w:p>
            <w:pPr>
              <w:spacing w:after="40" w:before="40"/>
            </w:pPr>
            <w:r>
              <w:rPr>
                <w:rFonts w:ascii="Arial" w:cs="Arial" w:eastAsia="Arial" w:hAnsi="Arial"/>
                <w:b/>
                <w:bCs/>
                <w:sz w:val="20"/>
                <w:szCs w:val="20"/>
              </w:rPr>
              <w:t xml:space="preserve">Access: </w:t>
            </w:r>
            <w:hyperlink w:history="1" r:id="rId48ievbijwjyhnrtu8rygr">
              <w:r>
                <w:rPr>
                  <w:rFonts w:ascii="Arial" w:cs="Arial" w:eastAsia="Arial" w:hAnsi="Arial"/>
                  <w:color w:val="2E75B6"/>
                  <w:sz w:val="20"/>
                  <w:szCs w:val="20"/>
                  <w:u w:val="single"/>
                </w:rPr>
                <w:t xml:space="preserve">https://www.nngroup.com/articles/why-you-only-need-to-test-with-5-users/</w:t>
              </w:r>
            </w:hyperlink>
          </w:p>
          <w:p>
            <w:pPr>
              <w:spacing w:after="0" w:before="40"/>
            </w:pPr>
            <w:r>
              <w:rPr>
                <w:rFonts w:ascii="Arial" w:cs="Arial" w:eastAsia="Arial" w:hAnsi="Arial"/>
                <w:b/>
                <w:bCs/>
                <w:sz w:val="20"/>
                <w:szCs w:val="20"/>
              </w:rPr>
              <w:t xml:space="preserve">Full citation: </w:t>
            </w:r>
            <w:r>
              <w:rPr>
                <w:rFonts w:ascii="Arial" w:cs="Arial" w:eastAsia="Arial" w:hAnsi="Arial"/>
                <w:i/>
                <w:iCs/>
                <w:sz w:val="20"/>
                <w:szCs w:val="20"/>
              </w:rPr>
              <w:t xml:space="preserve">Nielsen, J. (Nielsen Norman Group). Why You Only Need to Test with 5 Users. Nielsen Norman Group. https://www.nngroup.com/articles/why-you-only-need-to-test-with-5-users/</w:t>
            </w:r>
          </w:p>
        </w:tc>
      </w:tr>
    </w:tbl>
    <w:p>
      <w:pPr>
        <w:spacing w:after="40" w:before="120"/>
      </w:pPr>
      <w:r>
        <w:t xml:space="preserve"/>
      </w:r>
    </w:p>
    <w:p>
      <w:pPr>
        <w:spacing w:after="80" w:before="80"/>
      </w:pPr>
      <w:r>
        <w:t xml:space="preserve"/>
      </w:r>
    </w:p>
    <w:p>
      <w:pPr>
        <w:pStyle w:val="Heading2"/>
        <w:spacing w:after="100" w:before="200"/>
      </w:pPr>
      <w:r>
        <w:rPr>
          <w:rFonts w:ascii="Arial" w:cs="Arial" w:eastAsia="Arial" w:hAnsi="Arial"/>
          <w:b/>
          <w:bCs/>
          <w:color w:val="2E75B6"/>
          <w:sz w:val="22"/>
          <w:szCs w:val="22"/>
        </w:rPr>
        <w:t xml:space="preserve">Part 2: Within-Subjects Design vs A/B Testing</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120"/>
              <w:left w:type="dxa" w:w="140"/>
              <w:bottom w:type="dxa" w:w="120"/>
              <w:right w:type="dxa" w:w="100"/>
            </w:tcMar>
            <w:vAlign w:val="top"/>
          </w:tcPr>
          <w:p>
            <w:pPr>
              <w:spacing w:after="60" w:before="0"/>
            </w:pPr>
            <w:r>
              <w:rPr>
                <w:rFonts w:ascii="Arial" w:cs="Arial" w:eastAsia="Arial" w:hAnsi="Arial"/>
                <w:b/>
                <w:bCs/>
                <w:color w:val="FFFFFF"/>
                <w:sz w:val="16"/>
                <w:szCs w:val="16"/>
              </w:rPr>
              <w:t xml:space="preserve">APPLIED INDUSTRY</w:t>
            </w:r>
          </w:p>
          <w:p>
            <w:pPr>
              <w:spacing w:after="60" w:before="0"/>
            </w:pPr>
            <w:r>
              <w:rPr>
                <w:rFonts w:ascii="Arial" w:cs="Arial" w:eastAsia="Arial" w:hAnsi="Arial"/>
                <w:b/>
                <w:bCs/>
                <w:color w:val="FFFFFF"/>
                <w:sz w:val="18"/>
                <w:szCs w:val="18"/>
              </w:rPr>
              <w:t xml:space="preserve">Nielsen Norman Group</w:t>
            </w:r>
          </w:p>
          <w:p>
            <w:pPr>
              <w:spacing w:after="0" w:before="0"/>
            </w:pPr>
            <w:r>
              <w:rPr>
                <w:rFonts w:ascii="Arial" w:cs="Arial" w:eastAsia="Arial" w:hAnsi="Arial"/>
                <w:color w:val="FFFFFF"/>
                <w:sz w:val="18"/>
                <w:szCs w:val="18"/>
              </w:rPr>
              <w:t xml:space="preserve">2014 (updated 2023)</w:t>
            </w:r>
          </w:p>
        </w:tc>
        <w:tc>
          <w:tcPr>
            <w:tcW w:type="dxa" w:w="7760"/>
            <w:tcBorders>
              <w:top w:val="single" w:color="CCCCCC" w:sz="1"/>
              <w:left w:val="thick" w:color="2E75B6" w:sz="12"/>
              <w:bottom w:val="single" w:color="CCCCCC" w:sz="1"/>
              <w:right w:val="single" w:color="CCCCCC" w:sz="1"/>
            </w:tcBorders>
            <w:shd w:fill="FFFFFF" w:val="clear"/>
            <w:tcMar>
              <w:top w:type="dxa" w:w="120"/>
              <w:left w:type="dxa" w:w="180"/>
              <w:bottom w:type="dxa" w:w="120"/>
              <w:right w:type="dxa" w:w="120"/>
            </w:tcMar>
          </w:tcPr>
          <w:p>
            <w:pPr>
              <w:spacing w:after="80" w:before="0"/>
            </w:pPr>
            <w:r>
              <w:rPr>
                <w:rFonts w:ascii="Arial" w:cs="Arial" w:eastAsia="Arial" w:hAnsi="Arial"/>
                <w:b/>
                <w:bCs/>
                <w:sz w:val="20"/>
                <w:szCs w:val="20"/>
              </w:rPr>
              <w:t xml:space="preserve">Between-Subjects vs. Within-Subjects Study Design</w:t>
            </w:r>
          </w:p>
          <w:p>
            <w:pPr>
              <w:spacing w:after="40" w:before="60"/>
            </w:pPr>
            <w:r>
              <w:rPr>
                <w:rFonts w:ascii="Arial" w:cs="Arial" w:eastAsia="Arial" w:hAnsi="Arial"/>
                <w:b/>
                <w:bCs/>
                <w:sz w:val="20"/>
                <w:szCs w:val="20"/>
              </w:rPr>
              <w:t xml:space="preserve">What this supports: </w:t>
            </w:r>
            <w:r>
              <w:rPr>
                <w:rFonts w:ascii="Arial" w:cs="Arial" w:eastAsia="Arial" w:hAnsi="Arial"/>
                <w:sz w:val="20"/>
                <w:szCs w:val="20"/>
              </w:rPr>
              <w:t xml:space="preserve">DESIGN METHODOLOGY — Source for the statistical efficiency advantage of within-subjects design. NNG establishes that within-subjects design requires fewer participants to achieve equivalent statistical power because each participant serves as their own control, and that between-subjects (A/B) designs require substantially larger groups to detect the same effect. Supports the recommendation that within-subjects design is more appropriate than A/B testing for small internal tester pools.</w:t>
            </w:r>
          </w:p>
          <w:p>
            <w:pPr>
              <w:spacing w:after="40" w:before="40"/>
            </w:pPr>
            <w:r>
              <w:rPr>
                <w:rFonts w:ascii="Arial" w:cs="Arial" w:eastAsia="Arial" w:hAnsi="Arial"/>
                <w:b/>
                <w:bCs/>
                <w:sz w:val="20"/>
                <w:szCs w:val="20"/>
              </w:rPr>
              <w:t xml:space="preserve">Verification: </w:t>
            </w:r>
            <w:r>
              <w:rPr>
                <w:rFonts w:ascii="Arial" w:cs="Arial" w:eastAsia="Arial" w:hAnsi="Arial"/>
                <w:sz w:val="20"/>
                <w:szCs w:val="20"/>
              </w:rPr>
              <w:t xml:space="preserve">APPLIED INDUSTRY SOURCE — NNG publication. The statistical efficiency principle is well-established in experimental design literature and corroborated by NNG's practitioner guidance.</w:t>
            </w:r>
          </w:p>
          <w:p>
            <w:pPr>
              <w:spacing w:after="40" w:before="40"/>
            </w:pPr>
            <w:r>
              <w:rPr>
                <w:rFonts w:ascii="Arial" w:cs="Arial" w:eastAsia="Arial" w:hAnsi="Arial"/>
                <w:b/>
                <w:bCs/>
                <w:sz w:val="20"/>
                <w:szCs w:val="20"/>
              </w:rPr>
              <w:t xml:space="preserve">Access: </w:t>
            </w:r>
            <w:hyperlink w:history="1" r:id="rId_lux_92wrfkegt38f_qqd">
              <w:r>
                <w:rPr>
                  <w:rFonts w:ascii="Arial" w:cs="Arial" w:eastAsia="Arial" w:hAnsi="Arial"/>
                  <w:color w:val="2E75B6"/>
                  <w:sz w:val="20"/>
                  <w:szCs w:val="20"/>
                  <w:u w:val="single"/>
                </w:rPr>
                <w:t xml:space="preserve">https://www.nngroup.com/articles/between-within-subjects/</w:t>
              </w:r>
            </w:hyperlink>
          </w:p>
          <w:p>
            <w:pPr>
              <w:spacing w:after="0" w:before="40"/>
            </w:pPr>
            <w:r>
              <w:rPr>
                <w:rFonts w:ascii="Arial" w:cs="Arial" w:eastAsia="Arial" w:hAnsi="Arial"/>
                <w:b/>
                <w:bCs/>
                <w:sz w:val="20"/>
                <w:szCs w:val="20"/>
              </w:rPr>
              <w:t xml:space="preserve">Full citation: </w:t>
            </w:r>
            <w:r>
              <w:rPr>
                <w:rFonts w:ascii="Arial" w:cs="Arial" w:eastAsia="Arial" w:hAnsi="Arial"/>
                <w:i/>
                <w:iCs/>
                <w:sz w:val="20"/>
                <w:szCs w:val="20"/>
              </w:rPr>
              <w:t xml:space="preserve">Pernice, K. (Nielsen Norman Group). Between-Subjects vs. Within-Subjects Study Design. Nielsen Norman Group. https://www.nngroup.com/articles/between-within-subjects/</w:t>
            </w:r>
          </w:p>
        </w:tc>
      </w:tr>
    </w:tbl>
    <w:p>
      <w:pPr>
        <w:spacing w:after="40" w:before="120"/>
      </w:pPr>
      <w:r>
        <w:t xml:space="preserve"/>
      </w:r>
    </w:p>
    <w:p>
      <w:pPr>
        <w:spacing w:after="80" w:before="80"/>
      </w:pPr>
      <w:r>
        <w:t xml:space="preserve"/>
      </w:r>
    </w:p>
    <w:p>
      <w:pPr>
        <w:pStyle w:val="Heading2"/>
        <w:spacing w:after="100" w:before="200"/>
      </w:pPr>
      <w:r>
        <w:rPr>
          <w:rFonts w:ascii="Arial" w:cs="Arial" w:eastAsia="Arial" w:hAnsi="Arial"/>
          <w:b/>
          <w:bCs/>
          <w:color w:val="2E75B6"/>
          <w:sz w:val="22"/>
          <w:szCs w:val="22"/>
        </w:rPr>
        <w:t xml:space="preserve">Part 3: Limitations of Unstructured Human Preference Testing</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120"/>
              <w:left w:type="dxa" w:w="140"/>
              <w:bottom w:type="dxa" w:w="120"/>
              <w:right w:type="dxa" w:w="100"/>
            </w:tcMar>
            <w:vAlign w:val="top"/>
          </w:tcPr>
          <w:p>
            <w:pPr>
              <w:spacing w:after="60" w:before="0"/>
            </w:pPr>
            <w:r>
              <w:rPr>
                <w:rFonts w:ascii="Arial" w:cs="Arial" w:eastAsia="Arial" w:hAnsi="Arial"/>
                <w:b/>
                <w:bCs/>
                <w:color w:val="FFFFFF"/>
                <w:sz w:val="16"/>
                <w:szCs w:val="16"/>
              </w:rPr>
              <w:t xml:space="preserve">ACADEMIC PEER-REVIEWED</w:t>
            </w:r>
          </w:p>
          <w:p>
            <w:pPr>
              <w:spacing w:after="60" w:before="0"/>
            </w:pPr>
            <w:r>
              <w:rPr>
                <w:rFonts w:ascii="Arial" w:cs="Arial" w:eastAsia="Arial" w:hAnsi="Arial"/>
                <w:b/>
                <w:bCs/>
                <w:color w:val="FFFFFF"/>
                <w:sz w:val="18"/>
                <w:szCs w:val="18"/>
              </w:rPr>
              <w:t xml:space="preserve">Zhao, Rush &amp; Goyal, Cornell University</w:t>
            </w:r>
          </w:p>
          <w:p>
            <w:pPr>
              <w:spacing w:after="0" w:before="0"/>
            </w:pPr>
            <w:r>
              <w:rPr>
                <w:rFonts w:ascii="Arial" w:cs="Arial" w:eastAsia="Arial" w:hAnsi="Arial"/>
                <w:color w:val="FFFFFF"/>
                <w:sz w:val="18"/>
                <w:szCs w:val="18"/>
              </w:rPr>
              <w:t xml:space="preserve">2024</w:t>
            </w:r>
          </w:p>
        </w:tc>
        <w:tc>
          <w:tcPr>
            <w:tcW w:type="dxa" w:w="7760"/>
            <w:tcBorders>
              <w:top w:val="single" w:color="CCCCCC" w:sz="1"/>
              <w:left w:val="thick" w:color="2E75B6" w:sz="12"/>
              <w:bottom w:val="single" w:color="CCCCCC" w:sz="1"/>
              <w:right w:val="single" w:color="CCCCCC" w:sz="1"/>
            </w:tcBorders>
            <w:shd w:fill="FFFFFF" w:val="clear"/>
            <w:tcMar>
              <w:top w:type="dxa" w:w="120"/>
              <w:left w:type="dxa" w:w="180"/>
              <w:bottom w:type="dxa" w:w="120"/>
              <w:right w:type="dxa" w:w="120"/>
            </w:tcMar>
          </w:tcPr>
          <w:p>
            <w:pPr>
              <w:spacing w:after="80" w:before="0"/>
            </w:pPr>
            <w:r>
              <w:rPr>
                <w:rFonts w:ascii="Arial" w:cs="Arial" w:eastAsia="Arial" w:hAnsi="Arial"/>
                <w:b/>
                <w:bCs/>
                <w:sz w:val="20"/>
                <w:szCs w:val="20"/>
              </w:rPr>
              <w:t xml:space="preserve">Challenges in Trustworthy Human Evaluation of Chatbots</w:t>
            </w:r>
          </w:p>
          <w:p>
            <w:pPr>
              <w:spacing w:after="40" w:before="60"/>
            </w:pPr>
            <w:r>
              <w:rPr>
                <w:rFonts w:ascii="Arial" w:cs="Arial" w:eastAsia="Arial" w:hAnsi="Arial"/>
                <w:b/>
                <w:bCs/>
                <w:sz w:val="20"/>
                <w:szCs w:val="20"/>
              </w:rPr>
              <w:t xml:space="preserve">What this supports: </w:t>
            </w:r>
            <w:r>
              <w:rPr>
                <w:rFonts w:ascii="Arial" w:cs="Arial" w:eastAsia="Arial" w:hAnsi="Arial"/>
                <w:sz w:val="20"/>
                <w:szCs w:val="20"/>
              </w:rPr>
              <w:t xml:space="preserve">PRIMARY SOURCE — Core argument against unstructured preference-only testing. Identifies that open-ended queries without structured evaluation criteria produce effectively arbitrary votes, because users voting based on subjective preferences fail to meaningfully distinguish models. Establishes that only 10% of poor-quality votes from apathetic or adversarial annotators can shift model rankings by up to 5 positions on a leaderboard. Justifies why Layer 3 uses structured task lists and behavioral scoring rubrics rather than free-form preference voting.</w:t>
            </w:r>
          </w:p>
          <w:p>
            <w:pPr>
              <w:spacing w:after="40" w:before="40"/>
            </w:pPr>
            <w:r>
              <w:rPr>
                <w:rFonts w:ascii="Arial" w:cs="Arial" w:eastAsia="Arial" w:hAnsi="Arial"/>
                <w:b/>
                <w:bCs/>
                <w:sz w:val="20"/>
                <w:szCs w:val="20"/>
              </w:rPr>
              <w:t xml:space="preserve">Verification: </w:t>
            </w:r>
            <w:r>
              <w:rPr>
                <w:rFonts w:ascii="Arial" w:cs="Arial" w:eastAsia="Arial" w:hAnsi="Arial"/>
                <w:sz w:val="20"/>
                <w:szCs w:val="20"/>
              </w:rPr>
              <w:t xml:space="preserve">VERIFIED: Abstract confirmed at arxiv.org/abs/2412.04363. The 10%/5-position finding is stated in the published abstract. Author Cornell affiliations verified against individual faculty profiles: Wenting Zhao (PhD candidate, Cornell CS), Alexander M. Rush (Associate Professor, Cornell), Tanya Goyal (Assistant Professor, Cornell CS). Published in Findings of ACL: NAACL 2025, pp. 3359-3365.</w:t>
            </w:r>
          </w:p>
          <w:p>
            <w:pPr>
              <w:spacing w:after="40" w:before="40"/>
            </w:pPr>
            <w:r>
              <w:rPr>
                <w:rFonts w:ascii="Arial" w:cs="Arial" w:eastAsia="Arial" w:hAnsi="Arial"/>
                <w:b/>
                <w:bCs/>
                <w:sz w:val="20"/>
                <w:szCs w:val="20"/>
              </w:rPr>
              <w:t xml:space="preserve">Access: </w:t>
            </w:r>
            <w:hyperlink w:history="1" r:id="rIdui7rhbw6q_7nxhfwfgbil">
              <w:r>
                <w:rPr>
                  <w:rFonts w:ascii="Arial" w:cs="Arial" w:eastAsia="Arial" w:hAnsi="Arial"/>
                  <w:color w:val="2E75B6"/>
                  <w:sz w:val="20"/>
                  <w:szCs w:val="20"/>
                  <w:u w:val="single"/>
                </w:rPr>
                <w:t xml:space="preserve">https://arxiv.org/abs/2412.04363</w:t>
              </w:r>
            </w:hyperlink>
          </w:p>
          <w:p>
            <w:pPr>
              <w:spacing w:after="0" w:before="40"/>
            </w:pPr>
            <w:r>
              <w:rPr>
                <w:rFonts w:ascii="Arial" w:cs="Arial" w:eastAsia="Arial" w:hAnsi="Arial"/>
                <w:b/>
                <w:bCs/>
                <w:sz w:val="20"/>
                <w:szCs w:val="20"/>
              </w:rPr>
              <w:t xml:space="preserve">Full citation: </w:t>
            </w:r>
            <w:r>
              <w:rPr>
                <w:rFonts w:ascii="Arial" w:cs="Arial" w:eastAsia="Arial" w:hAnsi="Arial"/>
                <w:i/>
                <w:iCs/>
                <w:sz w:val="20"/>
                <w:szCs w:val="20"/>
              </w:rPr>
              <w:t xml:space="preserve">Zhao, W., Rush, A.M., &amp; Goyal, T. (2024). Challenges in Trustworthy Human Evaluation of Chatbots. arXiv:2412.04363. Published in Findings of the Association for Computational Linguistics: NAACL 2025, pp. 3359-3365. https://aclanthology.org/2025.findings-naacl.186/</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120"/>
              <w:left w:type="dxa" w:w="140"/>
              <w:bottom w:type="dxa" w:w="120"/>
              <w:right w:type="dxa" w:w="100"/>
            </w:tcMar>
            <w:vAlign w:val="top"/>
          </w:tcPr>
          <w:p>
            <w:pPr>
              <w:spacing w:after="60" w:before="0"/>
            </w:pPr>
            <w:r>
              <w:rPr>
                <w:rFonts w:ascii="Arial" w:cs="Arial" w:eastAsia="Arial" w:hAnsi="Arial"/>
                <w:b/>
                <w:bCs/>
                <w:color w:val="FFFFFF"/>
                <w:sz w:val="16"/>
                <w:szCs w:val="16"/>
              </w:rPr>
              <w:t xml:space="preserve">ACADEMIC PEER-REVIEWED</w:t>
            </w:r>
          </w:p>
          <w:p>
            <w:pPr>
              <w:spacing w:after="60" w:before="0"/>
            </w:pPr>
            <w:r>
              <w:rPr>
                <w:rFonts w:ascii="Arial" w:cs="Arial" w:eastAsia="Arial" w:hAnsi="Arial"/>
                <w:b/>
                <w:bCs/>
                <w:color w:val="FFFFFF"/>
                <w:sz w:val="18"/>
                <w:szCs w:val="18"/>
              </w:rPr>
              <w:t xml:space="preserve">Pasch, T.</w:t>
            </w:r>
          </w:p>
          <w:p>
            <w:pPr>
              <w:spacing w:after="0" w:before="0"/>
            </w:pPr>
            <w:r>
              <w:rPr>
                <w:rFonts w:ascii="Arial" w:cs="Arial" w:eastAsia="Arial" w:hAnsi="Arial"/>
                <w:color w:val="FFFFFF"/>
                <w:sz w:val="18"/>
                <w:szCs w:val="18"/>
              </w:rPr>
              <w:t xml:space="preserve">January 2025</w:t>
            </w:r>
          </w:p>
        </w:tc>
        <w:tc>
          <w:tcPr>
            <w:tcW w:type="dxa" w:w="7760"/>
            <w:tcBorders>
              <w:top w:val="single" w:color="CCCCCC" w:sz="1"/>
              <w:left w:val="thick" w:color="2E75B6" w:sz="12"/>
              <w:bottom w:val="single" w:color="CCCCCC" w:sz="1"/>
              <w:right w:val="single" w:color="CCCCCC" w:sz="1"/>
            </w:tcBorders>
            <w:shd w:fill="FFFFFF" w:val="clear"/>
            <w:tcMar>
              <w:top w:type="dxa" w:w="120"/>
              <w:left w:type="dxa" w:w="180"/>
              <w:bottom w:type="dxa" w:w="120"/>
              <w:right w:type="dxa" w:w="120"/>
            </w:tcMar>
          </w:tcPr>
          <w:p>
            <w:pPr>
              <w:spacing w:after="80" w:before="0"/>
            </w:pPr>
            <w:r>
              <w:rPr>
                <w:rFonts w:ascii="Arial" w:cs="Arial" w:eastAsia="Arial" w:hAnsi="Arial"/>
                <w:b/>
                <w:bCs/>
                <w:sz w:val="20"/>
                <w:szCs w:val="20"/>
              </w:rPr>
              <w:t xml:space="preserve">Evidence from Response Refusals in Chatbot Arena</w:t>
            </w:r>
          </w:p>
          <w:p>
            <w:pPr>
              <w:spacing w:after="40" w:before="60"/>
            </w:pPr>
            <w:r>
              <w:rPr>
                <w:rFonts w:ascii="Arial" w:cs="Arial" w:eastAsia="Arial" w:hAnsi="Arial"/>
                <w:b/>
                <w:bCs/>
                <w:sz w:val="20"/>
                <w:szCs w:val="20"/>
              </w:rPr>
              <w:t xml:space="preserve">What this supports: </w:t>
            </w:r>
            <w:r>
              <w:rPr>
                <w:rFonts w:ascii="Arial" w:cs="Arial" w:eastAsia="Arial" w:hAnsi="Arial"/>
                <w:sz w:val="20"/>
                <w:szCs w:val="20"/>
              </w:rPr>
              <w:t xml:space="preserve">PRIMARY SOURCE — Refusal penalty finding. Establishes that ethically-motivated refusals win only 8% of pairwise comparisons versus 36% for standard compliant responses, and that LLM judges are far more tolerant of refusals than human users (31% vs 8%). Justifies why user preference testing structurally penalises the safer bot, and why preference data must not be allowed to override Layer 2 safety and compliance scores.</w:t>
            </w:r>
          </w:p>
          <w:p>
            <w:pPr>
              <w:spacing w:after="40" w:before="40"/>
            </w:pPr>
            <w:r>
              <w:rPr>
                <w:rFonts w:ascii="Arial" w:cs="Arial" w:eastAsia="Arial" w:hAnsi="Arial"/>
                <w:b/>
                <w:bCs/>
                <w:sz w:val="20"/>
                <w:szCs w:val="20"/>
              </w:rPr>
              <w:t xml:space="preserve">Verification: </w:t>
            </w:r>
            <w:r>
              <w:rPr>
                <w:rFonts w:ascii="Arial" w:cs="Arial" w:eastAsia="Arial" w:hAnsi="Arial"/>
                <w:sz w:val="20"/>
                <w:szCs w:val="20"/>
              </w:rPr>
              <w:t xml:space="preserve">VERIFIED: arXiv abstract confirmed. The 8% vs 36% figure is corroborated in Chatbot Arena topic summary (emergentmind.com) citing this paper. Note: earlier attribution of this finding to arXiv:2403.04132 (the Chatbot Arena platform paper) was incorrect — this is the correct primary source.</w:t>
            </w:r>
          </w:p>
          <w:p>
            <w:pPr>
              <w:spacing w:after="40" w:before="40"/>
            </w:pPr>
            <w:r>
              <w:rPr>
                <w:rFonts w:ascii="Arial" w:cs="Arial" w:eastAsia="Arial" w:hAnsi="Arial"/>
                <w:b/>
                <w:bCs/>
                <w:sz w:val="20"/>
                <w:szCs w:val="20"/>
              </w:rPr>
              <w:t xml:space="preserve">Access: </w:t>
            </w:r>
            <w:hyperlink w:history="1" r:id="rIddnnqabgnyjulobnnmmzqo">
              <w:r>
                <w:rPr>
                  <w:rFonts w:ascii="Arial" w:cs="Arial" w:eastAsia="Arial" w:hAnsi="Arial"/>
                  <w:color w:val="2E75B6"/>
                  <w:sz w:val="20"/>
                  <w:szCs w:val="20"/>
                  <w:u w:val="single"/>
                </w:rPr>
                <w:t xml:space="preserve">https://arxiv.org/abs/2501.03266</w:t>
              </w:r>
            </w:hyperlink>
          </w:p>
          <w:p>
            <w:pPr>
              <w:spacing w:after="0" w:before="40"/>
            </w:pPr>
            <w:r>
              <w:rPr>
                <w:rFonts w:ascii="Arial" w:cs="Arial" w:eastAsia="Arial" w:hAnsi="Arial"/>
                <w:b/>
                <w:bCs/>
                <w:sz w:val="20"/>
                <w:szCs w:val="20"/>
              </w:rPr>
              <w:t xml:space="preserve">Full citation: </w:t>
            </w:r>
            <w:r>
              <w:rPr>
                <w:rFonts w:ascii="Arial" w:cs="Arial" w:eastAsia="Arial" w:hAnsi="Arial"/>
                <w:i/>
                <w:iCs/>
                <w:sz w:val="20"/>
                <w:szCs w:val="20"/>
              </w:rPr>
              <w:t xml:space="preserve">Pasch, T. (2025, January 4). Evidence from Response Refusals in Chatbot Arena. arXiv:2501.03266.</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120"/>
              <w:left w:type="dxa" w:w="140"/>
              <w:bottom w:type="dxa" w:w="120"/>
              <w:right w:type="dxa" w:w="100"/>
            </w:tcMar>
            <w:vAlign w:val="top"/>
          </w:tcPr>
          <w:p>
            <w:pPr>
              <w:spacing w:after="60" w:before="0"/>
            </w:pPr>
            <w:r>
              <w:rPr>
                <w:rFonts w:ascii="Arial" w:cs="Arial" w:eastAsia="Arial" w:hAnsi="Arial"/>
                <w:b/>
                <w:bCs/>
                <w:color w:val="FFFFFF"/>
                <w:sz w:val="16"/>
                <w:szCs w:val="16"/>
              </w:rPr>
              <w:t xml:space="preserve">ACADEMIC PEER-REVIEWED</w:t>
            </w:r>
          </w:p>
          <w:p>
            <w:pPr>
              <w:spacing w:after="60" w:before="0"/>
            </w:pPr>
            <w:r>
              <w:rPr>
                <w:rFonts w:ascii="Arial" w:cs="Arial" w:eastAsia="Arial" w:hAnsi="Arial"/>
                <w:b/>
                <w:bCs/>
                <w:color w:val="FFFFFF"/>
                <w:sz w:val="18"/>
                <w:szCs w:val="18"/>
              </w:rPr>
              <w:t xml:space="preserve">Chiang et al., UC Berkeley / LMSYS</w:t>
            </w:r>
          </w:p>
          <w:p>
            <w:pPr>
              <w:spacing w:after="0" w:before="0"/>
            </w:pPr>
            <w:r>
              <w:rPr>
                <w:rFonts w:ascii="Arial" w:cs="Arial" w:eastAsia="Arial" w:hAnsi="Arial"/>
                <w:color w:val="FFFFFF"/>
                <w:sz w:val="18"/>
                <w:szCs w:val="18"/>
              </w:rPr>
              <w:t xml:space="preserve">2024</w:t>
            </w:r>
          </w:p>
        </w:tc>
        <w:tc>
          <w:tcPr>
            <w:tcW w:type="dxa" w:w="7760"/>
            <w:tcBorders>
              <w:top w:val="single" w:color="CCCCCC" w:sz="1"/>
              <w:left w:val="thick" w:color="2E75B6" w:sz="12"/>
              <w:bottom w:val="single" w:color="CCCCCC" w:sz="1"/>
              <w:right w:val="single" w:color="CCCCCC" w:sz="1"/>
            </w:tcBorders>
            <w:shd w:fill="FFFFFF" w:val="clear"/>
            <w:tcMar>
              <w:top w:type="dxa" w:w="120"/>
              <w:left w:type="dxa" w:w="180"/>
              <w:bottom w:type="dxa" w:w="120"/>
              <w:right w:type="dxa" w:w="120"/>
            </w:tcMar>
          </w:tcPr>
          <w:p>
            <w:pPr>
              <w:spacing w:after="80" w:before="0"/>
            </w:pPr>
            <w:r>
              <w:rPr>
                <w:rFonts w:ascii="Arial" w:cs="Arial" w:eastAsia="Arial" w:hAnsi="Arial"/>
                <w:b/>
                <w:bCs/>
                <w:sz w:val="20"/>
                <w:szCs w:val="20"/>
              </w:rPr>
              <w:t xml:space="preserve">Chatbot Arena: An Open Platform for Evaluating LLMs by Human Preference</w:t>
            </w:r>
          </w:p>
          <w:p>
            <w:pPr>
              <w:spacing w:after="40" w:before="60"/>
            </w:pPr>
            <w:r>
              <w:rPr>
                <w:rFonts w:ascii="Arial" w:cs="Arial" w:eastAsia="Arial" w:hAnsi="Arial"/>
                <w:b/>
                <w:bCs/>
                <w:sz w:val="20"/>
                <w:szCs w:val="20"/>
              </w:rPr>
              <w:t xml:space="preserve">What this supports: </w:t>
            </w:r>
            <w:r>
              <w:rPr>
                <w:rFonts w:ascii="Arial" w:cs="Arial" w:eastAsia="Arial" w:hAnsi="Arial"/>
                <w:sz w:val="20"/>
                <w:szCs w:val="20"/>
              </w:rPr>
              <w:t xml:space="preserve">CHATBOT ARENA PLATFORM DESCRIPTION — Describes the methodology, scale (240K+ votes), and statistical approach of Chatbot Arena (now Arena, formerly LMArena). Shows 72-83% agreement between crowd users and expert raters. Supports the use of Chatbot Arena research as a valid evidence base for understanding the behavior of human preference testing at scale. Note: the 10% noise finding and 8% refusal penalty are established in separate papers cited above.</w:t>
            </w:r>
          </w:p>
          <w:p>
            <w:pPr>
              <w:spacing w:after="40" w:before="40"/>
            </w:pPr>
            <w:r>
              <w:rPr>
                <w:rFonts w:ascii="Arial" w:cs="Arial" w:eastAsia="Arial" w:hAnsi="Arial"/>
                <w:b/>
                <w:bCs/>
                <w:sz w:val="20"/>
                <w:szCs w:val="20"/>
              </w:rPr>
              <w:t xml:space="preserve">Verification: </w:t>
            </w:r>
            <w:r>
              <w:rPr>
                <w:rFonts w:ascii="Arial" w:cs="Arial" w:eastAsia="Arial" w:hAnsi="Arial"/>
                <w:sz w:val="20"/>
                <w:szCs w:val="20"/>
              </w:rPr>
              <w:t xml:space="preserve">VERIFIED: Abstract and HTML version confirmed at arxiv.org/abs/2403.04132. Note: Chatbot Arena was created by UC Berkeley / LMSYS and has since incorporated as an independent company (2025), rebranding to LMArena and then Arena (January 2026).</w:t>
            </w:r>
          </w:p>
          <w:p>
            <w:pPr>
              <w:spacing w:after="40" w:before="40"/>
            </w:pPr>
            <w:r>
              <w:rPr>
                <w:rFonts w:ascii="Arial" w:cs="Arial" w:eastAsia="Arial" w:hAnsi="Arial"/>
                <w:b/>
                <w:bCs/>
                <w:sz w:val="20"/>
                <w:szCs w:val="20"/>
              </w:rPr>
              <w:t xml:space="preserve">Access: </w:t>
            </w:r>
            <w:hyperlink w:history="1" r:id="rIdzaziyysk1cyibobkno7mk">
              <w:r>
                <w:rPr>
                  <w:rFonts w:ascii="Arial" w:cs="Arial" w:eastAsia="Arial" w:hAnsi="Arial"/>
                  <w:color w:val="2E75B6"/>
                  <w:sz w:val="20"/>
                  <w:szCs w:val="20"/>
                  <w:u w:val="single"/>
                </w:rPr>
                <w:t xml:space="preserve">https://arxiv.org/abs/2403.04132</w:t>
              </w:r>
            </w:hyperlink>
          </w:p>
          <w:p>
            <w:pPr>
              <w:spacing w:after="0" w:before="40"/>
            </w:pPr>
            <w:r>
              <w:rPr>
                <w:rFonts w:ascii="Arial" w:cs="Arial" w:eastAsia="Arial" w:hAnsi="Arial"/>
                <w:b/>
                <w:bCs/>
                <w:sz w:val="20"/>
                <w:szCs w:val="20"/>
              </w:rPr>
              <w:t xml:space="preserve">Full citation: </w:t>
            </w:r>
            <w:r>
              <w:rPr>
                <w:rFonts w:ascii="Arial" w:cs="Arial" w:eastAsia="Arial" w:hAnsi="Arial"/>
                <w:i/>
                <w:iCs/>
                <w:sz w:val="20"/>
                <w:szCs w:val="20"/>
              </w:rPr>
              <w:t xml:space="preserve">Chiang, W., Zheng, L., Sheng, Y., et al. (2024). Chatbot Arena: An Open Platform for Evaluating LLMs by Human Preference. arXiv:2403.04132.</w:t>
            </w:r>
          </w:p>
        </w:tc>
      </w:tr>
    </w:tbl>
    <w:p>
      <w:pPr>
        <w:spacing w:after="40" w:before="120"/>
      </w:pPr>
      <w:r>
        <w:t xml:space="preserve"/>
      </w:r>
    </w:p>
    <w:p>
      <w:pPr>
        <w:spacing w:after="80" w:before="80"/>
      </w:pPr>
      <w:r>
        <w:t xml:space="preserve"/>
      </w:r>
    </w:p>
    <w:p>
      <w:pPr>
        <w:pStyle w:val="Heading2"/>
        <w:spacing w:after="100" w:before="200"/>
      </w:pPr>
      <w:r>
        <w:rPr>
          <w:rFonts w:ascii="Arial" w:cs="Arial" w:eastAsia="Arial" w:hAnsi="Arial"/>
          <w:b/>
          <w:bCs/>
          <w:color w:val="2E75B6"/>
          <w:sz w:val="22"/>
          <w:szCs w:val="22"/>
        </w:rPr>
        <w:t xml:space="preserve">Part 4: Enterprise Accuracy Benchmark — 85% as a Widely Reported Industry Standard</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120"/>
              <w:left w:type="dxa" w:w="140"/>
              <w:bottom w:type="dxa" w:w="120"/>
              <w:right w:type="dxa" w:w="100"/>
            </w:tcMar>
            <w:vAlign w:val="top"/>
          </w:tcPr>
          <w:p>
            <w:pPr>
              <w:spacing w:after="60" w:before="0"/>
            </w:pPr>
            <w:r>
              <w:rPr>
                <w:rFonts w:ascii="Arial" w:cs="Arial" w:eastAsia="Arial" w:hAnsi="Arial"/>
                <w:b/>
                <w:bCs/>
                <w:color w:val="FFFFFF"/>
                <w:sz w:val="16"/>
                <w:szCs w:val="16"/>
              </w:rPr>
              <w:t xml:space="preserve">APPLIED INDUSTRY</w:t>
            </w:r>
          </w:p>
          <w:p>
            <w:pPr>
              <w:spacing w:after="60" w:before="0"/>
            </w:pPr>
            <w:r>
              <w:rPr>
                <w:rFonts w:ascii="Arial" w:cs="Arial" w:eastAsia="Arial" w:hAnsi="Arial"/>
                <w:b/>
                <w:bCs/>
                <w:color w:val="FFFFFF"/>
                <w:sz w:val="18"/>
                <w:szCs w:val="18"/>
              </w:rPr>
              <w:t xml:space="preserve">Fullview</w:t>
            </w:r>
          </w:p>
          <w:p>
            <w:pPr>
              <w:spacing w:after="0" w:before="0"/>
            </w:pPr>
            <w:r>
              <w:rPr>
                <w:rFonts w:ascii="Arial" w:cs="Arial" w:eastAsia="Arial" w:hAnsi="Arial"/>
                <w:color w:val="FFFFFF"/>
                <w:sz w:val="18"/>
                <w:szCs w:val="18"/>
              </w:rPr>
              <w:t xml:space="preserve">2025</w:t>
            </w:r>
          </w:p>
        </w:tc>
        <w:tc>
          <w:tcPr>
            <w:tcW w:type="dxa" w:w="7760"/>
            <w:tcBorders>
              <w:top w:val="single" w:color="CCCCCC" w:sz="1"/>
              <w:left w:val="thick" w:color="2E75B6" w:sz="12"/>
              <w:bottom w:val="single" w:color="CCCCCC" w:sz="1"/>
              <w:right w:val="single" w:color="CCCCCC" w:sz="1"/>
            </w:tcBorders>
            <w:shd w:fill="FFFFFF" w:val="clear"/>
            <w:tcMar>
              <w:top w:type="dxa" w:w="120"/>
              <w:left w:type="dxa" w:w="180"/>
              <w:bottom w:type="dxa" w:w="120"/>
              <w:right w:type="dxa" w:w="120"/>
            </w:tcMar>
          </w:tcPr>
          <w:p>
            <w:pPr>
              <w:spacing w:after="80" w:before="0"/>
            </w:pPr>
            <w:r>
              <w:rPr>
                <w:rFonts w:ascii="Arial" w:cs="Arial" w:eastAsia="Arial" w:hAnsi="Arial"/>
                <w:b/>
                <w:bCs/>
                <w:sz w:val="20"/>
                <w:szCs w:val="20"/>
              </w:rPr>
              <w:t xml:space="preserve">100+ AI Chatbot Statistics and Trends 2025</w:t>
            </w:r>
          </w:p>
          <w:p>
            <w:pPr>
              <w:spacing w:after="40" w:before="60"/>
            </w:pPr>
            <w:r>
              <w:rPr>
                <w:rFonts w:ascii="Arial" w:cs="Arial" w:eastAsia="Arial" w:hAnsi="Arial"/>
                <w:b/>
                <w:bCs/>
                <w:sz w:val="20"/>
                <w:szCs w:val="20"/>
              </w:rPr>
              <w:t xml:space="preserve">What this supports: </w:t>
            </w:r>
            <w:r>
              <w:rPr>
                <w:rFonts w:ascii="Arial" w:cs="Arial" w:eastAsia="Arial" w:hAnsi="Arial"/>
                <w:sz w:val="20"/>
                <w:szCs w:val="20"/>
              </w:rPr>
              <w:t xml:space="preserve">CORROBORATING SOURCE — The 85%+ accuracy rate targeted by successful enterprise chatbot implementations. One of three independently published industry sources corroborating this figure as a widely reported benchmark for general enterprise deployments. The article cites PeakSupport as the originating source for this specific figure. Cited collectively with Dialzara (2025) and PeakSupport (2024) to establish the 85% threshold as a cross-source industry standard rather than a single-source claim.</w:t>
            </w:r>
          </w:p>
          <w:p>
            <w:pPr>
              <w:spacing w:after="40" w:before="40"/>
            </w:pPr>
            <w:r>
              <w:rPr>
                <w:rFonts w:ascii="Arial" w:cs="Arial" w:eastAsia="Arial" w:hAnsi="Arial"/>
                <w:b/>
                <w:bCs/>
                <w:sz w:val="20"/>
                <w:szCs w:val="20"/>
              </w:rPr>
              <w:t xml:space="preserve">Verification: </w:t>
            </w:r>
            <w:r>
              <w:rPr>
                <w:rFonts w:ascii="Arial" w:cs="Arial" w:eastAsia="Arial" w:hAnsi="Arial"/>
                <w:sz w:val="20"/>
                <w:szCs w:val="20"/>
              </w:rPr>
              <w:t xml:space="preserve">APPLIED INDUSTRY SOURCE — Fullview aggregator article. URL verified as live. The 85% accuracy target is confirmed in the article content with attribution to PeakSupport.</w:t>
            </w:r>
          </w:p>
          <w:p>
            <w:pPr>
              <w:spacing w:after="40" w:before="40"/>
            </w:pPr>
            <w:r>
              <w:rPr>
                <w:rFonts w:ascii="Arial" w:cs="Arial" w:eastAsia="Arial" w:hAnsi="Arial"/>
                <w:b/>
                <w:bCs/>
                <w:sz w:val="20"/>
                <w:szCs w:val="20"/>
              </w:rPr>
              <w:t xml:space="preserve">Access: </w:t>
            </w:r>
            <w:hyperlink w:history="1" r:id="rIdavso0onzkubh3lpw2wz6n">
              <w:r>
                <w:rPr>
                  <w:rFonts w:ascii="Arial" w:cs="Arial" w:eastAsia="Arial" w:hAnsi="Arial"/>
                  <w:color w:val="2E75B6"/>
                  <w:sz w:val="20"/>
                  <w:szCs w:val="20"/>
                  <w:u w:val="single"/>
                </w:rPr>
                <w:t xml:space="preserve">https://www.fullview.io/blog/ai-chatbot-statistics</w:t>
              </w:r>
            </w:hyperlink>
          </w:p>
          <w:p>
            <w:pPr>
              <w:spacing w:after="0" w:before="40"/>
            </w:pPr>
            <w:r>
              <w:rPr>
                <w:rFonts w:ascii="Arial" w:cs="Arial" w:eastAsia="Arial" w:hAnsi="Arial"/>
                <w:b/>
                <w:bCs/>
                <w:sz w:val="20"/>
                <w:szCs w:val="20"/>
              </w:rPr>
              <w:t xml:space="preserve">Full citation: </w:t>
            </w:r>
            <w:r>
              <w:rPr>
                <w:rFonts w:ascii="Arial" w:cs="Arial" w:eastAsia="Arial" w:hAnsi="Arial"/>
                <w:i/>
                <w:iCs/>
                <w:sz w:val="20"/>
                <w:szCs w:val="20"/>
              </w:rPr>
              <w:t xml:space="preserve">Fullview. (2025). 100+ AI Chatbot Statistics and Trends 2025. Fullview Blog. https://www.fullview.io/blog/ai-chatbot-statistics</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120"/>
              <w:left w:type="dxa" w:w="140"/>
              <w:bottom w:type="dxa" w:w="120"/>
              <w:right w:type="dxa" w:w="100"/>
            </w:tcMar>
            <w:vAlign w:val="top"/>
          </w:tcPr>
          <w:p>
            <w:pPr>
              <w:spacing w:after="60" w:before="0"/>
            </w:pPr>
            <w:r>
              <w:rPr>
                <w:rFonts w:ascii="Arial" w:cs="Arial" w:eastAsia="Arial" w:hAnsi="Arial"/>
                <w:b/>
                <w:bCs/>
                <w:color w:val="FFFFFF"/>
                <w:sz w:val="16"/>
                <w:szCs w:val="16"/>
              </w:rPr>
              <w:t xml:space="preserve">APPLIED INDUSTRY</w:t>
            </w:r>
          </w:p>
          <w:p>
            <w:pPr>
              <w:spacing w:after="60" w:before="0"/>
            </w:pPr>
            <w:r>
              <w:rPr>
                <w:rFonts w:ascii="Arial" w:cs="Arial" w:eastAsia="Arial" w:hAnsi="Arial"/>
                <w:b/>
                <w:bCs/>
                <w:color w:val="FFFFFF"/>
                <w:sz w:val="18"/>
                <w:szCs w:val="18"/>
              </w:rPr>
              <w:t xml:space="preserve">Dialzara</w:t>
            </w:r>
          </w:p>
          <w:p>
            <w:pPr>
              <w:spacing w:after="0" w:before="0"/>
            </w:pPr>
            <w:r>
              <w:rPr>
                <w:rFonts w:ascii="Arial" w:cs="Arial" w:eastAsia="Arial" w:hAnsi="Arial"/>
                <w:color w:val="FFFFFF"/>
                <w:sz w:val="18"/>
                <w:szCs w:val="18"/>
              </w:rPr>
              <w:t xml:space="preserve">2025</w:t>
            </w:r>
          </w:p>
        </w:tc>
        <w:tc>
          <w:tcPr>
            <w:tcW w:type="dxa" w:w="7760"/>
            <w:tcBorders>
              <w:top w:val="single" w:color="CCCCCC" w:sz="1"/>
              <w:left w:val="thick" w:color="2E75B6" w:sz="12"/>
              <w:bottom w:val="single" w:color="CCCCCC" w:sz="1"/>
              <w:right w:val="single" w:color="CCCCCC" w:sz="1"/>
            </w:tcBorders>
            <w:shd w:fill="FFFFFF" w:val="clear"/>
            <w:tcMar>
              <w:top w:type="dxa" w:w="120"/>
              <w:left w:type="dxa" w:w="180"/>
              <w:bottom w:type="dxa" w:w="120"/>
              <w:right w:type="dxa" w:w="120"/>
            </w:tcMar>
          </w:tcPr>
          <w:p>
            <w:pPr>
              <w:spacing w:after="80" w:before="0"/>
            </w:pPr>
            <w:r>
              <w:rPr>
                <w:rFonts w:ascii="Arial" w:cs="Arial" w:eastAsia="Arial" w:hAnsi="Arial"/>
                <w:b/>
                <w:bCs/>
                <w:sz w:val="20"/>
                <w:szCs w:val="20"/>
              </w:rPr>
              <w:t xml:space="preserve">7 Conversational AI Evaluation Metrics That Actually Matter in 2025</w:t>
            </w:r>
          </w:p>
          <w:p>
            <w:pPr>
              <w:spacing w:after="40" w:before="60"/>
            </w:pPr>
            <w:r>
              <w:rPr>
                <w:rFonts w:ascii="Arial" w:cs="Arial" w:eastAsia="Arial" w:hAnsi="Arial"/>
                <w:b/>
                <w:bCs/>
                <w:sz w:val="20"/>
                <w:szCs w:val="20"/>
              </w:rPr>
              <w:t xml:space="preserve">What this supports: </w:t>
            </w:r>
            <w:r>
              <w:rPr>
                <w:rFonts w:ascii="Arial" w:cs="Arial" w:eastAsia="Arial" w:hAnsi="Arial"/>
                <w:sz w:val="20"/>
                <w:szCs w:val="20"/>
              </w:rPr>
              <w:t xml:space="preserve">CORROBORATING SOURCE — The 75–85% accuracy rate targeted by general customer service chatbot implementations, and the 85%+ threshold targeted by successful enterprise deployments. One of three independently published industry sources corroborating the 85% figure as a widely reported benchmark. Cited collectively with Fullview (2025) and PeakSupport (2024) to establish the threshold as a cross-source industry standard.</w:t>
            </w:r>
          </w:p>
          <w:p>
            <w:pPr>
              <w:spacing w:after="40" w:before="40"/>
            </w:pPr>
            <w:r>
              <w:rPr>
                <w:rFonts w:ascii="Arial" w:cs="Arial" w:eastAsia="Arial" w:hAnsi="Arial"/>
                <w:b/>
                <w:bCs/>
                <w:sz w:val="20"/>
                <w:szCs w:val="20"/>
              </w:rPr>
              <w:t xml:space="preserve">Verification: </w:t>
            </w:r>
            <w:r>
              <w:rPr>
                <w:rFonts w:ascii="Arial" w:cs="Arial" w:eastAsia="Arial" w:hAnsi="Arial"/>
                <w:sz w:val="20"/>
                <w:szCs w:val="20"/>
              </w:rPr>
              <w:t xml:space="preserve">APPLIED INDUSTRY SOURCE — Dialzara practitioner blog. The 75–85% general target and 85%+ enterprise target figures are consistent with the range reported across all three corroborating sources.</w:t>
            </w:r>
          </w:p>
          <w:p>
            <w:pPr>
              <w:spacing w:after="40" w:before="40"/>
            </w:pPr>
            <w:r>
              <w:rPr>
                <w:rFonts w:ascii="Arial" w:cs="Arial" w:eastAsia="Arial" w:hAnsi="Arial"/>
                <w:b/>
                <w:bCs/>
                <w:sz w:val="20"/>
                <w:szCs w:val="20"/>
              </w:rPr>
              <w:t xml:space="preserve">Access: </w:t>
            </w:r>
            <w:hyperlink w:history="1" r:id="rIdk5by5uihqacxlqv64vkti">
              <w:r>
                <w:rPr>
                  <w:rFonts w:ascii="Arial" w:cs="Arial" w:eastAsia="Arial" w:hAnsi="Arial"/>
                  <w:color w:val="2E75B6"/>
                  <w:sz w:val="20"/>
                  <w:szCs w:val="20"/>
                  <w:u w:val="single"/>
                </w:rPr>
                <w:t xml:space="preserve">https://dialzara.com/blog/5-metrics-for-evaluating-conversational-ai</w:t>
              </w:r>
            </w:hyperlink>
          </w:p>
          <w:p>
            <w:pPr>
              <w:spacing w:after="0" w:before="40"/>
            </w:pPr>
            <w:r>
              <w:rPr>
                <w:rFonts w:ascii="Arial" w:cs="Arial" w:eastAsia="Arial" w:hAnsi="Arial"/>
                <w:b/>
                <w:bCs/>
                <w:sz w:val="20"/>
                <w:szCs w:val="20"/>
              </w:rPr>
              <w:t xml:space="preserve">Full citation: </w:t>
            </w:r>
            <w:r>
              <w:rPr>
                <w:rFonts w:ascii="Arial" w:cs="Arial" w:eastAsia="Arial" w:hAnsi="Arial"/>
                <w:i/>
                <w:iCs/>
                <w:sz w:val="20"/>
                <w:szCs w:val="20"/>
              </w:rPr>
              <w:t xml:space="preserve">Dialzara. (2025). 7 Conversational AI Evaluation Metrics That Actually Matter in 2025. Dialzara Blog. https://dialzara.com/blog/5-metrics-for-evaluating-conversational-ai</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120"/>
              <w:left w:type="dxa" w:w="140"/>
              <w:bottom w:type="dxa" w:w="120"/>
              <w:right w:type="dxa" w:w="100"/>
            </w:tcMar>
            <w:vAlign w:val="top"/>
          </w:tcPr>
          <w:p>
            <w:pPr>
              <w:spacing w:after="60" w:before="0"/>
            </w:pPr>
            <w:r>
              <w:rPr>
                <w:rFonts w:ascii="Arial" w:cs="Arial" w:eastAsia="Arial" w:hAnsi="Arial"/>
                <w:b/>
                <w:bCs/>
                <w:color w:val="FFFFFF"/>
                <w:sz w:val="16"/>
                <w:szCs w:val="16"/>
              </w:rPr>
              <w:t xml:space="preserve">APPLIED INDUSTRY</w:t>
            </w:r>
          </w:p>
          <w:p>
            <w:pPr>
              <w:spacing w:after="60" w:before="0"/>
            </w:pPr>
            <w:r>
              <w:rPr>
                <w:rFonts w:ascii="Arial" w:cs="Arial" w:eastAsia="Arial" w:hAnsi="Arial"/>
                <w:b/>
                <w:bCs/>
                <w:color w:val="FFFFFF"/>
                <w:sz w:val="18"/>
                <w:szCs w:val="18"/>
              </w:rPr>
              <w:t xml:space="preserve">PeakSupport</w:t>
            </w:r>
          </w:p>
          <w:p>
            <w:pPr>
              <w:spacing w:after="0" w:before="0"/>
            </w:pPr>
            <w:r>
              <w:rPr>
                <w:rFonts w:ascii="Arial" w:cs="Arial" w:eastAsia="Arial" w:hAnsi="Arial"/>
                <w:color w:val="FFFFFF"/>
                <w:sz w:val="18"/>
                <w:szCs w:val="18"/>
              </w:rPr>
              <w:t xml:space="preserve">2024</w:t>
            </w:r>
          </w:p>
        </w:tc>
        <w:tc>
          <w:tcPr>
            <w:tcW w:type="dxa" w:w="7760"/>
            <w:tcBorders>
              <w:top w:val="single" w:color="CCCCCC" w:sz="1"/>
              <w:left w:val="thick" w:color="2E75B6" w:sz="12"/>
              <w:bottom w:val="single" w:color="CCCCCC" w:sz="1"/>
              <w:right w:val="single" w:color="CCCCCC" w:sz="1"/>
            </w:tcBorders>
            <w:shd w:fill="FFFFFF" w:val="clear"/>
            <w:tcMar>
              <w:top w:type="dxa" w:w="120"/>
              <w:left w:type="dxa" w:w="180"/>
              <w:bottom w:type="dxa" w:w="120"/>
              <w:right w:type="dxa" w:w="120"/>
            </w:tcMar>
          </w:tcPr>
          <w:p>
            <w:pPr>
              <w:spacing w:after="80" w:before="0"/>
            </w:pPr>
            <w:r>
              <w:rPr>
                <w:rFonts w:ascii="Arial" w:cs="Arial" w:eastAsia="Arial" w:hAnsi="Arial"/>
                <w:b/>
                <w:bCs/>
                <w:sz w:val="20"/>
                <w:szCs w:val="20"/>
              </w:rPr>
              <w:t xml:space="preserve">The Critical Chatbot KPIs to Track in 2024</w:t>
            </w:r>
          </w:p>
          <w:p>
            <w:pPr>
              <w:spacing w:after="40" w:before="60"/>
            </w:pPr>
            <w:r>
              <w:rPr>
                <w:rFonts w:ascii="Arial" w:cs="Arial" w:eastAsia="Arial" w:hAnsi="Arial"/>
                <w:b/>
                <w:bCs/>
                <w:sz w:val="20"/>
                <w:szCs w:val="20"/>
              </w:rPr>
              <w:t xml:space="preserve">What this supports: </w:t>
            </w:r>
            <w:r>
              <w:rPr>
                <w:rFonts w:ascii="Arial" w:cs="Arial" w:eastAsia="Arial" w:hAnsi="Arial"/>
                <w:sz w:val="20"/>
                <w:szCs w:val="20"/>
              </w:rPr>
              <w:t xml:space="preserve">CORROBORATING SOURCE — The 85%+ accuracy rate as a quality threshold targeted by successful enterprise chatbot implementations. Identified as the originating source for the 85% figure cited in Fullview (2025). One of three independently published industry sources corroborating this benchmark. Cited collectively with Fullview (2025) and Dialzara (2025) to establish the 85% threshold as a cross-source industry standard that does not depend on a single primary source attribution.</w:t>
            </w:r>
          </w:p>
          <w:p>
            <w:pPr>
              <w:spacing w:after="40" w:before="40"/>
            </w:pPr>
            <w:r>
              <w:rPr>
                <w:rFonts w:ascii="Arial" w:cs="Arial" w:eastAsia="Arial" w:hAnsi="Arial"/>
                <w:b/>
                <w:bCs/>
                <w:sz w:val="20"/>
                <w:szCs w:val="20"/>
              </w:rPr>
              <w:t xml:space="preserve">Verification: </w:t>
            </w:r>
            <w:r>
              <w:rPr>
                <w:rFonts w:ascii="Arial" w:cs="Arial" w:eastAsia="Arial" w:hAnsi="Arial"/>
                <w:sz w:val="20"/>
                <w:szCs w:val="20"/>
              </w:rPr>
              <w:t xml:space="preserve">APPLIED INDUSTRY SOURCE — PeakSupport practitioner article. The 85% accuracy threshold figure is confirmed in the article content and is consistent across all three corroborating sources. This three-source corroboration is the recommended citation approach when the figure is presented to auditors, in place of a single Gartner attribution that cannot be independently verified without a subscription.</w:t>
            </w:r>
          </w:p>
          <w:p>
            <w:pPr>
              <w:spacing w:after="40" w:before="40"/>
            </w:pPr>
            <w:r>
              <w:rPr>
                <w:rFonts w:ascii="Arial" w:cs="Arial" w:eastAsia="Arial" w:hAnsi="Arial"/>
                <w:b/>
                <w:bCs/>
                <w:sz w:val="20"/>
                <w:szCs w:val="20"/>
              </w:rPr>
              <w:t xml:space="preserve">Access: </w:t>
            </w:r>
            <w:hyperlink w:history="1" r:id="rIdcnjeypw-rc8ne-ppplky6">
              <w:r>
                <w:rPr>
                  <w:rFonts w:ascii="Arial" w:cs="Arial" w:eastAsia="Arial" w:hAnsi="Arial"/>
                  <w:color w:val="2E75B6"/>
                  <w:sz w:val="20"/>
                  <w:szCs w:val="20"/>
                  <w:u w:val="single"/>
                </w:rPr>
                <w:t xml:space="preserve">https://peaksupport.io/resource/blogs/the-critical-chatbot-kpis-to-track-in-2024/</w:t>
              </w:r>
            </w:hyperlink>
          </w:p>
          <w:p>
            <w:pPr>
              <w:spacing w:after="0" w:before="40"/>
            </w:pPr>
            <w:r>
              <w:rPr>
                <w:rFonts w:ascii="Arial" w:cs="Arial" w:eastAsia="Arial" w:hAnsi="Arial"/>
                <w:b/>
                <w:bCs/>
                <w:sz w:val="20"/>
                <w:szCs w:val="20"/>
              </w:rPr>
              <w:t xml:space="preserve">Full citation: </w:t>
            </w:r>
            <w:r>
              <w:rPr>
                <w:rFonts w:ascii="Arial" w:cs="Arial" w:eastAsia="Arial" w:hAnsi="Arial"/>
                <w:i/>
                <w:iCs/>
                <w:sz w:val="20"/>
                <w:szCs w:val="20"/>
              </w:rPr>
              <w:t xml:space="preserve">PeakSupport. (2024). The Critical Chatbot KPIs to Track in 2024. PeakSupport Blog. https://peaksupport.io/resource/blogs/the-critical-chatbot-kpis-to-track-in-2024/</w:t>
            </w:r>
          </w:p>
        </w:tc>
      </w:tr>
    </w:tbl>
    <w:p>
      <w:pPr>
        <w:spacing w:after="40" w:before="120"/>
      </w:pPr>
      <w:r>
        <w:t xml:space="preserve"/>
      </w:r>
    </w:p>
    <w:p>
      <w:pPr>
        <w:spacing w:after="80" w:before="80"/>
      </w:pPr>
      <w:r>
        <w:t xml:space="preserve"/>
      </w:r>
    </w:p>
    <w:p>
      <w:pPr>
        <w:pBdr>
          <w:top w:val="single" w:color="2E75B6" w:sz="4" w:space="6"/>
        </w:pBdr>
        <w:spacing w:after="0" w:before="200"/>
      </w:pPr>
      <w:r>
        <w:rPr>
          <w:rFonts w:ascii="Arial" w:cs="Arial" w:eastAsia="Arial" w:hAnsi="Arial"/>
          <w:i/>
          <w:iCs/>
          <w:color w:val="595959"/>
          <w:sz w:val="18"/>
          <w:szCs w:val="18"/>
        </w:rPr>
        <w:t xml:space="preserve">Supplementary References  |  Internal Use  |  Sources verified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qccgm_8xm3g6pddz_d35" Type="http://schemas.openxmlformats.org/officeDocument/2006/relationships/hyperlink" Target="https://www.nngroup.com/articles/summary-quant-sample-sizes/" TargetMode="External"/><Relationship Id="rId48ievbijwjyhnrtu8rygr" Type="http://schemas.openxmlformats.org/officeDocument/2006/relationships/hyperlink" Target="https://www.nngroup.com/articles/why-you-only-need-to-test-with-5-users/" TargetMode="External"/><Relationship Id="rId_lux_92wrfkegt38f_qqd" Type="http://schemas.openxmlformats.org/officeDocument/2006/relationships/hyperlink" Target="https://www.nngroup.com/articles/between-within-subjects/" TargetMode="External"/><Relationship Id="rIdui7rhbw6q_7nxhfwfgbil" Type="http://schemas.openxmlformats.org/officeDocument/2006/relationships/hyperlink" Target="https://arxiv.org/abs/2412.04363" TargetMode="External"/><Relationship Id="rIddnnqabgnyjulobnnmmzqo" Type="http://schemas.openxmlformats.org/officeDocument/2006/relationships/hyperlink" Target="https://arxiv.org/abs/2501.03266" TargetMode="External"/><Relationship Id="rIdzaziyysk1cyibobkno7mk" Type="http://schemas.openxmlformats.org/officeDocument/2006/relationships/hyperlink" Target="https://arxiv.org/abs/2403.04132" TargetMode="External"/><Relationship Id="rIdavso0onzkubh3lpw2wz6n" Type="http://schemas.openxmlformats.org/officeDocument/2006/relationships/hyperlink" Target="https://www.fullview.io/blog/ai-chatbot-statistics" TargetMode="External"/><Relationship Id="rIdk5by5uihqacxlqv64vkti" Type="http://schemas.openxmlformats.org/officeDocument/2006/relationships/hyperlink" Target="https://dialzara.com/blog/5-metrics-for-evaluating-conversational-ai" TargetMode="External"/><Relationship Id="rIdcnjeypw-rc8ne-ppplky6" Type="http://schemas.openxmlformats.org/officeDocument/2006/relationships/hyperlink" Target="https://peaksupport.io/resource/blogs/the-critical-chatbot-kpis-to-track-in-2024/"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2026-05-18T21:27:54.082Z</dcterms:created>
  <dcterms:modified xsi:type="dcterms:W3CDTF">2026-05-18T21:27:54.098Z</dcterms:modified>
</cp:coreProperties>
</file>

<file path=docProps/custom.xml><?xml version="1.0" encoding="utf-8"?>
<Properties xmlns="http://schemas.openxmlformats.org/officeDocument/2006/custom-properties" xmlns:vt="http://schemas.openxmlformats.org/officeDocument/2006/docPropsVTypes"/>
</file>