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80"/>
        <w:jc w:val="center"/>
      </w:pPr>
      <w:r>
        <w:rPr>
          <w:rFonts w:ascii="Arial" w:cs="Arial" w:eastAsia="Arial" w:hAnsi="Arial"/>
          <w:b/>
          <w:bCs/>
          <w:color w:val="1F3864"/>
          <w:sz w:val="52"/>
          <w:szCs w:val="52"/>
        </w:rPr>
        <w:t xml:space="preserve">DATABRICKS ARCHITECT SESSION</w:t>
      </w:r>
    </w:p>
    <w:p>
      <w:pPr>
        <w:spacing w:after="80"/>
        <w:jc w:val="center"/>
      </w:pPr>
      <w:r>
        <w:rPr>
          <w:rFonts w:ascii="Arial" w:cs="Arial" w:eastAsia="Arial" w:hAnsi="Arial"/>
          <w:color w:val="2E5FAC"/>
          <w:sz w:val="32"/>
          <w:szCs w:val="32"/>
        </w:rPr>
        <w:t xml:space="preserve">Operationalization Guide &amp; Session Agenda</w:t>
      </w:r>
    </w:p>
    <w:p>
      <w:pPr>
        <w:pBdr>
          <w:bottom w:val="single" w:color="E8002D" w:sz="8" w:space="8"/>
        </w:pBdr>
        <w:spacing w:after="40"/>
        <w:jc w:val="center"/>
      </w:pPr>
      <w:r>
        <w:rPr>
          <w:rFonts w:ascii="Arial" w:cs="Arial" w:eastAsia="Arial" w:hAnsi="Arial"/>
          <w:color w:val="595959"/>
          <w:sz w:val="22"/>
          <w:szCs w:val="22"/>
        </w:rPr>
        <w:t xml:space="preserve">Scaling On-Prem Ingestion &amp; Building End-User Applications on the Lakehouse</w:t>
      </w:r>
    </w:p>
    <w:p>
      <w:pPr>
        <w:spacing w:after="240"/>
      </w:pPr>
    </w:p>
    <w:p>
      <w:pPr>
        <w:pStyle w:val="Heading1"/>
        <w:pBdr>
          <w:bottom w:val="single" w:color="E8002D" w:sz="6" w:space="4"/>
        </w:pBdr>
        <w:spacing w:after="160" w:before="360"/>
      </w:pPr>
      <w:r>
        <w:rPr>
          <w:rFonts w:ascii="Arial" w:cs="Arial" w:eastAsia="Arial" w:hAnsi="Arial"/>
          <w:b/>
          <w:bCs/>
          <w:color w:val="1F3864"/>
          <w:sz w:val="32"/>
          <w:szCs w:val="32"/>
        </w:rPr>
        <w:t xml:space="preserve">Session Context &amp; Goals</w:t>
      </w:r>
    </w:p>
    <w:p>
      <w:pPr>
        <w:spacing w:after="120" w:before="80"/>
      </w:pPr>
      <w:r>
        <w:rPr>
          <w:rFonts w:ascii="Arial" w:cs="Arial" w:eastAsia="Arial" w:hAnsi="Arial"/>
          <w:sz w:val="22"/>
          <w:szCs w:val="22"/>
        </w:rPr>
        <w:t xml:space="preserve">Your organization has an established and productive relationship with Databricks. The foundational work is complete: the Bronze-Silver-Gold Medallion architecture is in place, compliance and governance requirements are agreed upon, Azure Active Directory / Entra ID is integrated, and networking is configured. This is not a discovery session — it is an operationalization session.</w:t>
      </w:r>
    </w:p>
    <w:p>
      <w:pPr>
        <w:spacing w:after="120" w:before="80"/>
      </w:pPr>
      <w:r>
        <w:rPr>
          <w:rFonts w:ascii="Arial" w:cs="Arial" w:eastAsia="Arial" w:hAnsi="Arial"/>
          <w:sz w:val="22"/>
          <w:szCs w:val="22"/>
        </w:rPr>
        <w:t xml:space="preserve">The goal is to move from a working framework to a scaled, production-grade platform that delivers value to the business. The two primary focus areas are:</w:t>
      </w:r>
    </w:p>
    <w:p>
      <w:pPr>
        <w:spacing w:after="60"/>
      </w:pPr>
    </w:p>
    <w:p>
      <w:pPr>
        <w:pStyle w:val="ListParagraph"/>
        <w:numPr>
          <w:ilvl w:val="0"/>
          <w:numId w:val="2"/>
        </w:numPr>
        <w:spacing w:after="80"/>
      </w:pPr>
      <w:r>
        <w:rPr>
          <w:rFonts w:ascii="Arial" w:cs="Arial" w:eastAsia="Arial" w:hAnsi="Arial"/>
          <w:b/>
          <w:bCs/>
          <w:color w:val="2E5FAC"/>
          <w:sz w:val="22"/>
          <w:szCs w:val="22"/>
        </w:rPr>
        <w:t xml:space="preserve">On-Premises Data Ingestion: </w:t>
      </w:r>
      <w:r>
        <w:rPr>
          <w:rFonts w:ascii="Arial" w:cs="Arial" w:eastAsia="Arial" w:hAnsi="Arial"/>
          <w:sz w:val="22"/>
          <w:szCs w:val="22"/>
        </w:rPr>
        <w:t xml:space="preserve">How to systematically bring SQL Server data into the Medallion architecture — efficiently, reliably, and with proper quality controls.</w:t>
      </w:r>
    </w:p>
    <w:p>
      <w:pPr>
        <w:pStyle w:val="ListParagraph"/>
        <w:numPr>
          <w:ilvl w:val="0"/>
          <w:numId w:val="2"/>
        </w:numPr>
        <w:spacing w:after="80"/>
      </w:pPr>
      <w:r>
        <w:rPr>
          <w:rFonts w:ascii="Arial" w:cs="Arial" w:eastAsia="Arial" w:hAnsi="Arial"/>
          <w:b/>
          <w:bCs/>
          <w:color w:val="2E5FAC"/>
          <w:sz w:val="22"/>
          <w:szCs w:val="22"/>
        </w:rPr>
        <w:t xml:space="preserve">End-User Application Layer: </w:t>
      </w:r>
      <w:r>
        <w:rPr>
          <w:rFonts w:ascii="Arial" w:cs="Arial" w:eastAsia="Arial" w:hAnsi="Arial"/>
          <w:sz w:val="22"/>
          <w:szCs w:val="22"/>
        </w:rPr>
        <w:t xml:space="preserve">How to expose the data products built on the Gold layer to business users — through Genie Spaces, AI/BI Dashboards, interactive Databricks Apps, and governed AI interactions.</w:t>
      </w:r>
    </w:p>
    <w:p>
      <w:pPr>
        <w:spacing w:after="80"/>
      </w:pPr>
    </w:p>
    <w:p>
      <w:pPr>
        <w:pStyle w:val="Heading1"/>
        <w:pBdr>
          <w:bottom w:val="single" w:color="E8002D" w:sz="6" w:space="4"/>
        </w:pBdr>
        <w:spacing w:after="160" w:before="360"/>
      </w:pPr>
      <w:r>
        <w:rPr>
          <w:rFonts w:ascii="Arial" w:cs="Arial" w:eastAsia="Arial" w:hAnsi="Arial"/>
          <w:b/>
          <w:bCs/>
          <w:color w:val="1F3864"/>
          <w:sz w:val="32"/>
          <w:szCs w:val="32"/>
        </w:rPr>
        <w:t xml:space="preserve">1. Where We Stand — Foundation Status</w:t>
      </w:r>
    </w:p>
    <w:p>
      <w:pPr>
        <w:spacing w:after="120" w:before="80"/>
      </w:pPr>
      <w:r>
        <w:rPr>
          <w:rFonts w:ascii="Arial" w:cs="Arial" w:eastAsia="Arial" w:hAnsi="Arial"/>
          <w:sz w:val="22"/>
          <w:szCs w:val="22"/>
        </w:rPr>
        <w:t xml:space="preserve">The table below captures the current status of foundational capabilities. Use this to orient the conversation and confirm that the Databricks engineer's recommendations build on what is already in place rather than relitigating settled decisions.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for Session</w:t>
            </w:r>
          </w:p>
        </w:tc>
      </w:tr>
      <w:tr>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Bronze-Silver-Gold Medallion Architecture</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Framework is in place and being actively used. Session focus is on scaling ingestion pipelines and expanding data domains.</w:t>
            </w:r>
          </w:p>
        </w:tc>
      </w:tr>
      <w:tr>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Azure Entra ID / Active Directory Integration</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Identity and authentication are established. User and group-based access control is available to build on.</w:t>
            </w:r>
          </w:p>
        </w:tc>
      </w:tr>
      <w:tr>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Networking &amp; Azure Landing Zone</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Workspace networking, private endpoints, and security baseline are configured and approved.</w:t>
            </w:r>
          </w:p>
        </w:tc>
      </w:tr>
      <w:tr>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Unity Catalog</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Governance layer is active. Discuss catalog/schema structure for new data domains and application data products.</w:t>
            </w:r>
          </w:p>
        </w:tc>
      </w:tr>
      <w:tr>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Compliance &amp; Governance Requirements</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Agreed</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Requirements are known to the Databricks team. Confirm they are reflected in any new pipeline or application designs proposed.</w:t>
            </w:r>
          </w:p>
        </w:tc>
      </w:tr>
      <w:tr>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SQL Server On-Prem Ingestion Pipelines</w:t>
            </w:r>
          </w:p>
        </w:tc>
        <w:tc>
          <w:tcPr>
            <w:tcW w:type="dxa" w:w="1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4F24"/>
                <w:sz w:val="19"/>
                <w:szCs w:val="19"/>
              </w:rPr>
              <w:t xml:space="preserve">In Progress</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Pipelines exist but need to be scaled, standardized, and made production-grade for additional data domains.</w:t>
            </w:r>
          </w:p>
        </w:tc>
      </w:tr>
      <w:tr>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Genie Spaces / AI/BI Dashboards</w:t>
            </w:r>
          </w:p>
        </w:tc>
        <w:tc>
          <w:tcPr>
            <w:tcW w:type="dxa" w:w="1560"/>
            <w:tcBorders>
              <w:top w:val="single" w:color="D9D9D9" w:sz="1"/>
              <w:left w:val="single" w:color="D9D9D9" w:sz="1"/>
              <w:bottom w:val="single" w:color="D9D9D9" w:sz="1"/>
              <w:right w:val="single" w:color="D9D9D9" w:sz="1"/>
            </w:tcBorders>
            <w:shd w:fill="D6EEF2" w:val="clear"/>
            <w:tcMar>
              <w:top w:type="dxa" w:w="80"/>
              <w:left w:type="dxa" w:w="120"/>
              <w:bottom w:type="dxa" w:w="80"/>
              <w:right w:type="dxa" w:w="120"/>
            </w:tcMar>
            <w:vAlign w:val="center"/>
          </w:tcPr>
          <w:p>
            <w:pPr>
              <w:jc w:val="center"/>
            </w:pPr>
            <w:r>
              <w:rPr>
                <w:rFonts w:ascii="Arial" w:cs="Arial" w:eastAsia="Arial" w:hAnsi="Arial"/>
                <w:b/>
                <w:bCs/>
                <w:color w:val="1F5C6B"/>
                <w:sz w:val="19"/>
                <w:szCs w:val="19"/>
              </w:rPr>
              <w:t xml:space="preserve">To Discuss</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Gold layer exists but Genie Spaces and dashboards have not yet been broadly deployed to business users.</w:t>
            </w:r>
          </w:p>
        </w:tc>
      </w:tr>
      <w:tr>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Databricks Apps (Plotly/Dash, Streamlit)</w:t>
            </w:r>
          </w:p>
        </w:tc>
        <w:tc>
          <w:tcPr>
            <w:tcW w:type="dxa" w:w="1560"/>
            <w:tcBorders>
              <w:top w:val="single" w:color="D9D9D9" w:sz="1"/>
              <w:left w:val="single" w:color="D9D9D9" w:sz="1"/>
              <w:bottom w:val="single" w:color="D9D9D9" w:sz="1"/>
              <w:right w:val="single" w:color="D9D9D9" w:sz="1"/>
            </w:tcBorders>
            <w:shd w:fill="D6EEF2" w:val="clear"/>
            <w:tcMar>
              <w:top w:type="dxa" w:w="80"/>
              <w:left w:type="dxa" w:w="120"/>
              <w:bottom w:type="dxa" w:w="80"/>
              <w:right w:type="dxa" w:w="120"/>
            </w:tcMar>
            <w:vAlign w:val="center"/>
          </w:tcPr>
          <w:p>
            <w:pPr>
              <w:jc w:val="center"/>
            </w:pPr>
            <w:r>
              <w:rPr>
                <w:rFonts w:ascii="Arial" w:cs="Arial" w:eastAsia="Arial" w:hAnsi="Arial"/>
                <w:b/>
                <w:bCs/>
                <w:color w:val="1F5C6B"/>
                <w:sz w:val="19"/>
                <w:szCs w:val="19"/>
              </w:rPr>
              <w:t xml:space="preserve">To Discuss</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Notebook-based visuals (Plotly + NetworkX) need to be promoted to production apps with role-based interactivity.</w:t>
            </w:r>
          </w:p>
        </w:tc>
      </w:tr>
      <w:tr>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Unity AI Gateway / Prompt Audit Logging</w:t>
            </w:r>
          </w:p>
        </w:tc>
        <w:tc>
          <w:tcPr>
            <w:tcW w:type="dxa" w:w="1560"/>
            <w:tcBorders>
              <w:top w:val="single" w:color="D9D9D9" w:sz="1"/>
              <w:left w:val="single" w:color="D9D9D9" w:sz="1"/>
              <w:bottom w:val="single" w:color="D9D9D9" w:sz="1"/>
              <w:right w:val="single" w:color="D9D9D9" w:sz="1"/>
            </w:tcBorders>
            <w:shd w:fill="D6EEF2" w:val="clear"/>
            <w:tcMar>
              <w:top w:type="dxa" w:w="80"/>
              <w:left w:type="dxa" w:w="120"/>
              <w:bottom w:type="dxa" w:w="80"/>
              <w:right w:type="dxa" w:w="120"/>
            </w:tcMar>
            <w:vAlign w:val="center"/>
          </w:tcPr>
          <w:p>
            <w:pPr>
              <w:jc w:val="center"/>
            </w:pPr>
            <w:r>
              <w:rPr>
                <w:rFonts w:ascii="Arial" w:cs="Arial" w:eastAsia="Arial" w:hAnsi="Arial"/>
                <w:b/>
                <w:bCs/>
                <w:color w:val="1F5C6B"/>
                <w:sz w:val="19"/>
                <w:szCs w:val="19"/>
              </w:rPr>
              <w:t xml:space="preserve">To Discuss</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governance and audit logging not yet configured. Required before AI features reach business users.</w:t>
            </w:r>
          </w:p>
        </w:tc>
      </w:tr>
      <w:tr>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SharePoint Ingestion — Structured &amp; Unstructured Files</w:t>
            </w:r>
          </w:p>
        </w:tc>
        <w:tc>
          <w:tcPr>
            <w:tcW w:type="dxa" w:w="1560"/>
            <w:tcBorders>
              <w:top w:val="single" w:color="D9D9D9" w:sz="1"/>
              <w:left w:val="single" w:color="D9D9D9" w:sz="1"/>
              <w:bottom w:val="single" w:color="D9D9D9" w:sz="1"/>
              <w:right w:val="single" w:color="D9D9D9" w:sz="1"/>
            </w:tcBorders>
            <w:shd w:fill="D6EEF2" w:val="clear"/>
            <w:tcMar>
              <w:top w:type="dxa" w:w="80"/>
              <w:left w:type="dxa" w:w="120"/>
              <w:bottom w:type="dxa" w:w="80"/>
              <w:right w:type="dxa" w:w="120"/>
            </w:tcMar>
            <w:vAlign w:val="center"/>
          </w:tcPr>
          <w:p>
            <w:pPr>
              <w:jc w:val="center"/>
            </w:pPr>
            <w:r>
              <w:rPr>
                <w:rFonts w:ascii="Arial" w:cs="Arial" w:eastAsia="Arial" w:hAnsi="Arial"/>
                <w:b/>
                <w:bCs/>
                <w:color w:val="1F5C6B"/>
                <w:sz w:val="19"/>
                <w:szCs w:val="19"/>
              </w:rPr>
              <w:t xml:space="preserve">To Discuss</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CSVs, Excel, PDFs, and Word documents in SharePoint need a continuous ingestion strategy. Files update periodically — incremental sync required.</w:t>
            </w:r>
          </w:p>
        </w:tc>
      </w:tr>
      <w:tr>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Lakebase (Transactional App Layer)</w:t>
            </w:r>
          </w:p>
        </w:tc>
        <w:tc>
          <w:tcPr>
            <w:tcW w:type="dxa" w:w="1560"/>
            <w:tcBorders>
              <w:top w:val="single" w:color="D9D9D9" w:sz="1"/>
              <w:left w:val="single" w:color="D9D9D9" w:sz="1"/>
              <w:bottom w:val="single" w:color="D9D9D9" w:sz="1"/>
              <w:right w:val="single" w:color="D9D9D9" w:sz="1"/>
            </w:tcBorders>
            <w:shd w:fill="D6EEF2" w:val="clear"/>
            <w:tcMar>
              <w:top w:type="dxa" w:w="80"/>
              <w:left w:type="dxa" w:w="120"/>
              <w:bottom w:type="dxa" w:w="80"/>
              <w:right w:type="dxa" w:w="120"/>
            </w:tcMar>
            <w:vAlign w:val="center"/>
          </w:tcPr>
          <w:p>
            <w:pPr>
              <w:jc w:val="center"/>
            </w:pPr>
            <w:r>
              <w:rPr>
                <w:rFonts w:ascii="Arial" w:cs="Arial" w:eastAsia="Arial" w:hAnsi="Arial"/>
                <w:b/>
                <w:bCs/>
                <w:color w:val="1F5C6B"/>
                <w:sz w:val="19"/>
                <w:szCs w:val="19"/>
              </w:rPr>
              <w:t xml:space="preserve">To Discuss</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Evaluate for use cases requiring write-back or transactional state in applications.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60"/>
            <w:tcBorders>
              <w:top w:val="single" w:color="D9D9D9" w:sz="1"/>
              <w:left w:val="single" w:color="D9D9D9" w:sz="1"/>
              <w:bottom w:val="single" w:color="D9D9D9" w:sz="1"/>
              <w:right w:val="single" w:color="D9D9D9"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Legend</w:t>
            </w:r>
          </w:p>
        </w:tc>
        <w:tc>
          <w:tcPr>
            <w:tcW w:type="dxa" w:w="1872"/>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Complete</w:t>
            </w:r>
          </w:p>
        </w:tc>
        <w:tc>
          <w:tcPr>
            <w:tcW w:type="dxa" w:w="1872"/>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4F24"/>
                <w:sz w:val="19"/>
                <w:szCs w:val="19"/>
              </w:rPr>
              <w:t xml:space="preserve">In Progress</w:t>
            </w:r>
          </w:p>
        </w:tc>
        <w:tc>
          <w:tcPr>
            <w:tcW w:type="dxa" w:w="2184"/>
            <w:tcBorders>
              <w:top w:val="single" w:color="D9D9D9" w:sz="1"/>
              <w:left w:val="single" w:color="D9D9D9" w:sz="1"/>
              <w:bottom w:val="single" w:color="D9D9D9" w:sz="1"/>
              <w:right w:val="single" w:color="D9D9D9" w:sz="1"/>
            </w:tcBorders>
            <w:shd w:fill="D6EEF2" w:val="clear"/>
            <w:tcMar>
              <w:top w:type="dxa" w:w="80"/>
              <w:left w:type="dxa" w:w="120"/>
              <w:bottom w:type="dxa" w:w="80"/>
              <w:right w:type="dxa" w:w="120"/>
            </w:tcMar>
            <w:vAlign w:val="center"/>
          </w:tcPr>
          <w:p>
            <w:pPr>
              <w:jc w:val="center"/>
            </w:pPr>
            <w:r>
              <w:rPr>
                <w:rFonts w:ascii="Arial" w:cs="Arial" w:eastAsia="Arial" w:hAnsi="Arial"/>
                <w:b/>
                <w:bCs/>
                <w:color w:val="1F5C6B"/>
                <w:sz w:val="19"/>
                <w:szCs w:val="19"/>
              </w:rPr>
              <w:t xml:space="preserve">To Discuss in Session</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9"/>
                <w:szCs w:val="19"/>
              </w:rPr>
              <w:t xml:space="preserve">Not Started</w:t>
            </w:r>
          </w:p>
        </w:tc>
      </w:tr>
    </w:tbl>
    <w:p>
      <w:pPr>
        <w:spacing w:after="160"/>
      </w:pPr>
    </w:p>
    <w:p>
      <w:r>
        <w:br/>
      </w:r>
    </w:p>
    <w:p>
      <w:pPr>
        <w:pStyle w:val="Heading1"/>
        <w:pBdr>
          <w:bottom w:val="single" w:color="E8002D" w:sz="6" w:space="4"/>
        </w:pBdr>
        <w:spacing w:after="160" w:before="360"/>
      </w:pPr>
      <w:r>
        <w:rPr>
          <w:rFonts w:ascii="Arial" w:cs="Arial" w:eastAsia="Arial" w:hAnsi="Arial"/>
          <w:b/>
          <w:bCs/>
          <w:color w:val="1F3864"/>
          <w:sz w:val="32"/>
          <w:szCs w:val="32"/>
        </w:rPr>
        <w:t xml:space="preserve">2. On-Premises SQL Server Ingestion — Scaling &amp; Standardization</w:t>
      </w:r>
    </w:p>
    <w:p>
      <w:pPr>
        <w:spacing w:after="120" w:before="80"/>
      </w:pPr>
      <w:r>
        <w:rPr>
          <w:rFonts w:ascii="Arial" w:cs="Arial" w:eastAsia="Arial" w:hAnsi="Arial"/>
          <w:sz w:val="22"/>
          <w:szCs w:val="22"/>
        </w:rPr>
        <w:t xml:space="preserve">With the Medallion framework in place, the focus shifts from architecture design to ingestion operations: how to reliably bring additional SQL Server data domains into Bronze, apply consistent quality standards in Silver, and make data available in Gold efficiently and at scale.</w:t>
      </w:r>
    </w:p>
    <w:p>
      <w:pPr>
        <w:pStyle w:val="Heading2"/>
        <w:spacing w:after="120" w:before="240"/>
      </w:pPr>
      <w:r>
        <w:rPr>
          <w:rFonts w:ascii="Arial" w:cs="Arial" w:eastAsia="Arial" w:hAnsi="Arial"/>
          <w:b/>
          <w:bCs/>
          <w:color w:val="2E5FAC"/>
          <w:sz w:val="26"/>
          <w:szCs w:val="26"/>
        </w:rPr>
        <w:t xml:space="preserve">2.1 Key Information to Provide the Databricks Engineer</w:t>
      </w:r>
    </w:p>
    <w:p>
      <w:pPr>
        <w:pStyle w:val="ListParagraph"/>
        <w:numPr>
          <w:ilvl w:val="0"/>
          <w:numId w:val="2"/>
        </w:numPr>
        <w:spacing w:after="80"/>
      </w:pPr>
      <w:r>
        <w:rPr>
          <w:rFonts w:ascii="Arial" w:cs="Arial" w:eastAsia="Arial" w:hAnsi="Arial"/>
          <w:b/>
          <w:bCs/>
          <w:color w:val="2E5FAC"/>
          <w:sz w:val="22"/>
          <w:szCs w:val="22"/>
        </w:rPr>
        <w:t xml:space="preserve">Current ingestion approach: </w:t>
      </w:r>
      <w:r>
        <w:rPr>
          <w:rFonts w:ascii="Arial" w:cs="Arial" w:eastAsia="Arial" w:hAnsi="Arial"/>
          <w:sz w:val="22"/>
          <w:szCs w:val="22"/>
        </w:rPr>
        <w:t xml:space="preserve">Describe how existing pipelines are built — Lakeflow Connect, Auto Loader, ADF, custom notebooks, or a combination. The engineer needs to understand the current pattern before recommending how to standardize.</w:t>
      </w:r>
    </w:p>
    <w:p>
      <w:pPr>
        <w:pStyle w:val="ListParagraph"/>
        <w:numPr>
          <w:ilvl w:val="0"/>
          <w:numId w:val="2"/>
        </w:numPr>
        <w:spacing w:after="80"/>
      </w:pPr>
      <w:r>
        <w:rPr>
          <w:rFonts w:ascii="Arial" w:cs="Arial" w:eastAsia="Arial" w:hAnsi="Arial"/>
          <w:b/>
          <w:bCs/>
          <w:color w:val="2E5FAC"/>
          <w:sz w:val="22"/>
          <w:szCs w:val="22"/>
        </w:rPr>
        <w:t xml:space="preserve">SQL Server data domains not yet ingested: </w:t>
      </w:r>
      <w:r>
        <w:rPr>
          <w:rFonts w:ascii="Arial" w:cs="Arial" w:eastAsia="Arial" w:hAnsi="Arial"/>
          <w:sz w:val="22"/>
          <w:szCs w:val="22"/>
        </w:rPr>
        <w:t xml:space="preserve">Which tables, schemas, or databases still need to be onboarded? Approximate row counts, update frequency (daily batch vs. near-real-time), and whether CDC (Change Data Capture) is enabled on those tables.</w:t>
      </w:r>
    </w:p>
    <w:p>
      <w:pPr>
        <w:pStyle w:val="ListParagraph"/>
        <w:numPr>
          <w:ilvl w:val="0"/>
          <w:numId w:val="2"/>
        </w:numPr>
        <w:spacing w:after="80"/>
      </w:pPr>
      <w:r>
        <w:rPr>
          <w:rFonts w:ascii="Arial" w:cs="Arial" w:eastAsia="Arial" w:hAnsi="Arial"/>
          <w:b/>
          <w:bCs/>
          <w:color w:val="2E5FAC"/>
          <w:sz w:val="22"/>
          <w:szCs w:val="22"/>
        </w:rPr>
        <w:t xml:space="preserve">Current Bronze-to-Silver pipeline tooling: </w:t>
      </w:r>
      <w:r>
        <w:rPr>
          <w:rFonts w:ascii="Arial" w:cs="Arial" w:eastAsia="Arial" w:hAnsi="Arial"/>
          <w:sz w:val="22"/>
          <w:szCs w:val="22"/>
        </w:rPr>
        <w:t xml:space="preserve">Are Silver transformations running as DLT pipelines, notebooks, or Workflows? This determines what optimization and standardization work is needed.</w:t>
      </w:r>
    </w:p>
    <w:p>
      <w:pPr>
        <w:pStyle w:val="ListParagraph"/>
        <w:numPr>
          <w:ilvl w:val="0"/>
          <w:numId w:val="2"/>
        </w:numPr>
        <w:spacing w:after="80"/>
      </w:pPr>
      <w:r>
        <w:rPr>
          <w:rFonts w:ascii="Arial" w:cs="Arial" w:eastAsia="Arial" w:hAnsi="Arial"/>
          <w:b/>
          <w:bCs/>
          <w:color w:val="2E5FAC"/>
          <w:sz w:val="22"/>
          <w:szCs w:val="22"/>
        </w:rPr>
        <w:t xml:space="preserve">Known pain points in existing pipelines: </w:t>
      </w:r>
      <w:r>
        <w:rPr>
          <w:rFonts w:ascii="Arial" w:cs="Arial" w:eastAsia="Arial" w:hAnsi="Arial"/>
          <w:sz w:val="22"/>
          <w:szCs w:val="22"/>
        </w:rPr>
        <w:t xml:space="preserve">Schema drift, late-arriving data, pipeline failures, reprocessing requirements, or long runtimes — bring specific examples so the engineer can recommend solutions.</w:t>
      </w:r>
    </w:p>
    <w:p>
      <w:pPr>
        <w:pStyle w:val="ListParagraph"/>
        <w:numPr>
          <w:ilvl w:val="0"/>
          <w:numId w:val="2"/>
        </w:numPr>
        <w:spacing w:after="80"/>
      </w:pPr>
      <w:r>
        <w:rPr>
          <w:rFonts w:ascii="Arial" w:cs="Arial" w:eastAsia="Arial" w:hAnsi="Arial"/>
          <w:b/>
          <w:bCs/>
          <w:color w:val="2E5FAC"/>
          <w:sz w:val="22"/>
          <w:szCs w:val="22"/>
        </w:rPr>
        <w:t xml:space="preserve">SQL Server version and CDC readiness: </w:t>
      </w:r>
      <w:r>
        <w:rPr>
          <w:rFonts w:ascii="Arial" w:cs="Arial" w:eastAsia="Arial" w:hAnsi="Arial"/>
          <w:sz w:val="22"/>
          <w:szCs w:val="22"/>
        </w:rPr>
        <w:t xml:space="preserve">Some ingestion patterns (especially Lakeflow Connect CDC) depend on SQL Server version and whether CDC is enabled at the database level.</w:t>
      </w:r>
    </w:p>
    <w:p>
      <w:pPr>
        <w:spacing w:after="80"/>
      </w:pPr>
    </w:p>
    <w:p>
      <w:pPr>
        <w:pStyle w:val="Heading2"/>
        <w:spacing w:after="120" w:before="240"/>
      </w:pPr>
      <w:r>
        <w:rPr>
          <w:rFonts w:ascii="Arial" w:cs="Arial" w:eastAsia="Arial" w:hAnsi="Arial"/>
          <w:b/>
          <w:bCs/>
          <w:color w:val="2E5FAC"/>
          <w:sz w:val="26"/>
          <w:szCs w:val="26"/>
        </w:rPr>
        <w:t xml:space="preserve">2.2 Ingestion Pattern Comparison</w:t>
      </w:r>
    </w:p>
    <w:p>
      <w:pPr>
        <w:spacing w:after="120" w:before="80"/>
      </w:pPr>
      <w:r>
        <w:rPr>
          <w:rFonts w:ascii="Arial" w:cs="Arial" w:eastAsia="Arial" w:hAnsi="Arial"/>
          <w:sz w:val="22"/>
          <w:szCs w:val="22"/>
        </w:rPr>
        <w:t xml:space="preserve">Confirm with the Databricks engineer which ingestion pattern is right for each data domain. The choice affects latency, complexity, and infrastructure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06"/>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257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c>
          <w:tcPr>
            <w:tcW w:type="dxa" w:w="140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140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c>
          <w:tcPr>
            <w:tcW w:type="dxa" w:w="1872"/>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Consideration</w:t>
            </w:r>
          </w:p>
        </w:tc>
      </w:tr>
      <w:tr>
        <w:tc>
          <w:tcPr>
            <w:tcW w:type="dxa" w:w="210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Lakeflow Connect (CDC)</w:t>
            </w:r>
          </w:p>
        </w:tc>
        <w:tc>
          <w:tcPr>
            <w:tcW w:type="dxa" w:w="257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High-change tables where near-real-time sync is needed. Captures inserts, updates, deletes.</w:t>
            </w:r>
          </w:p>
        </w:tc>
        <w:tc>
          <w:tcPr>
            <w:tcW w:type="dxa" w:w="140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5C6B"/>
                <w:sz w:val="20"/>
                <w:szCs w:val="20"/>
              </w:rPr>
              <w:t xml:space="preserve">Low (minutes)</w:t>
            </w:r>
          </w:p>
        </w:tc>
        <w:tc>
          <w:tcPr>
            <w:tcW w:type="dxa" w:w="140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Requires CDC enabled on SQL Server. Preferred for operational tables.</w:t>
            </w:r>
          </w:p>
        </w:tc>
      </w:tr>
      <w:tr>
        <w:tc>
          <w:tcPr>
            <w:tcW w:type="dxa" w:w="21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Auto Loader (Full / Incremental)</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File-based exports from SQL Server, or tables exported via SSIS/ADF to ADLS. Handles schema evolution automatically.</w:t>
            </w:r>
          </w:p>
        </w:tc>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5C6B"/>
                <w:sz w:val="20"/>
                <w:szCs w:val="20"/>
              </w:rPr>
              <w:t xml:space="preserve">Medium (hourly)</w:t>
            </w:r>
          </w:p>
        </w:tc>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Low–Medium</w:t>
            </w:r>
          </w:p>
        </w:tc>
        <w:tc>
          <w:tcPr>
            <w:tcW w:type="dxa" w:w="187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Good fit if data already lands in ADLS as files. Native schema inference.</w:t>
            </w:r>
          </w:p>
        </w:tc>
      </w:tr>
      <w:tr>
        <w:tc>
          <w:tcPr>
            <w:tcW w:type="dxa" w:w="210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Delta Live Tables (DLT) Pipelines</w:t>
            </w:r>
          </w:p>
        </w:tc>
        <w:tc>
          <w:tcPr>
            <w:tcW w:type="dxa" w:w="257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Structured Bronze-to-Silver transformation layer. Declarative quality expectations, automatic retries, and lineage.</w:t>
            </w:r>
          </w:p>
        </w:tc>
        <w:tc>
          <w:tcPr>
            <w:tcW w:type="dxa" w:w="140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5C6B"/>
                <w:sz w:val="20"/>
                <w:szCs w:val="20"/>
              </w:rPr>
              <w:t xml:space="preserve">Dependent on trigger</w:t>
            </w:r>
          </w:p>
        </w:tc>
        <w:tc>
          <w:tcPr>
            <w:tcW w:type="dxa" w:w="140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Best practice for Silver transformation. Recommend standardizing all domains on DLT.</w:t>
            </w:r>
          </w:p>
        </w:tc>
      </w:tr>
      <w:tr>
        <w:tc>
          <w:tcPr>
            <w:tcW w:type="dxa" w:w="21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Databricks Workflows (Notebooks)</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Ad-hoc or complex ingestion logic that doesn't fit DLT. Existing notebook-based pipelines.</w:t>
            </w:r>
          </w:p>
        </w:tc>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5C6B"/>
                <w:sz w:val="20"/>
                <w:szCs w:val="20"/>
              </w:rPr>
              <w:t xml:space="preserve">Configurable</w:t>
            </w:r>
          </w:p>
        </w:tc>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Medium–High</w:t>
            </w:r>
          </w:p>
        </w:tc>
        <w:tc>
          <w:tcPr>
            <w:tcW w:type="dxa" w:w="187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Harder to maintain at scale. Evaluate migration to DLT where feasible.</w:t>
            </w:r>
          </w:p>
        </w:tc>
      </w:tr>
      <w:tr>
        <w:tc>
          <w:tcPr>
            <w:tcW w:type="dxa" w:w="210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ADF + Databricks</w:t>
            </w:r>
          </w:p>
        </w:tc>
        <w:tc>
          <w:tcPr>
            <w:tcW w:type="dxa" w:w="257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Hybrid: ADF orchestrates movement, Databricks processes. Useful if ADF is already managing SQL Server connections.</w:t>
            </w:r>
          </w:p>
        </w:tc>
        <w:tc>
          <w:tcPr>
            <w:tcW w:type="dxa" w:w="140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5C6B"/>
                <w:sz w:val="20"/>
                <w:szCs w:val="20"/>
              </w:rPr>
              <w:t xml:space="preserve">Configurable</w:t>
            </w:r>
          </w:p>
        </w:tc>
        <w:tc>
          <w:tcPr>
            <w:tcW w:type="dxa" w:w="140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Adds orchestration complexity. Consolidate to Workflows if ADF isn't adding value.</w:t>
            </w:r>
          </w:p>
        </w:tc>
      </w:tr>
    </w:tbl>
    <w:p>
      <w:pPr>
        <w:spacing w:after="120"/>
      </w:pPr>
    </w:p>
    <w:p>
      <w:pPr>
        <w:pStyle w:val="Heading2"/>
        <w:spacing w:after="120" w:before="240"/>
      </w:pPr>
      <w:r>
        <w:rPr>
          <w:rFonts w:ascii="Arial" w:cs="Arial" w:eastAsia="Arial" w:hAnsi="Arial"/>
          <w:b/>
          <w:bCs/>
          <w:color w:val="2E5FAC"/>
          <w:sz w:val="26"/>
          <w:szCs w:val="26"/>
        </w:rPr>
        <w:t xml:space="preserve">2.3 Questions to Ask — Ingestion</w:t>
      </w:r>
    </w:p>
    <w:p>
      <w:pPr>
        <w:pStyle w:val="ListParagraph"/>
        <w:numPr>
          <w:ilvl w:val="0"/>
          <w:numId w:val="2"/>
        </w:numPr>
        <w:spacing w:after="80"/>
      </w:pPr>
      <w:r>
        <w:rPr>
          <w:rFonts w:ascii="Arial" w:cs="Arial" w:eastAsia="Arial" w:hAnsi="Arial"/>
          <w:sz w:val="22"/>
          <w:szCs w:val="22"/>
        </w:rPr>
        <w:t xml:space="preserve">What is the recommended standard ingestion pattern for our SQL Server environment given our existing pipeline setup — should we standardize all new domains on Lakeflow Connect with CDC, or is a hybrid approach more practical?</w:t>
      </w:r>
    </w:p>
    <w:p>
      <w:pPr>
        <w:pStyle w:val="ListParagraph"/>
        <w:numPr>
          <w:ilvl w:val="0"/>
          <w:numId w:val="2"/>
        </w:numPr>
        <w:spacing w:after="80"/>
      </w:pPr>
      <w:r>
        <w:rPr>
          <w:rFonts w:ascii="Arial" w:cs="Arial" w:eastAsia="Arial" w:hAnsi="Arial"/>
          <w:sz w:val="22"/>
          <w:szCs w:val="22"/>
        </w:rPr>
        <w:t xml:space="preserve">For tables where CDC is not enabled on SQL Server, what is the recommended alternative — watermark-based incremental load, full reload, or enabling CDC retroactively?</w:t>
      </w:r>
    </w:p>
    <w:p>
      <w:pPr>
        <w:pStyle w:val="ListParagraph"/>
        <w:numPr>
          <w:ilvl w:val="0"/>
          <w:numId w:val="2"/>
        </w:numPr>
        <w:spacing w:after="80"/>
      </w:pPr>
      <w:r>
        <w:rPr>
          <w:rFonts w:ascii="Arial" w:cs="Arial" w:eastAsia="Arial" w:hAnsi="Arial"/>
          <w:sz w:val="22"/>
          <w:szCs w:val="22"/>
        </w:rPr>
        <w:t xml:space="preserve">How should we handle schema drift in Bronze when SQL Server source schemas change — what is the DLT or Auto Loader best practice for our situation?</w:t>
      </w:r>
    </w:p>
    <w:p>
      <w:pPr>
        <w:pStyle w:val="ListParagraph"/>
        <w:numPr>
          <w:ilvl w:val="0"/>
          <w:numId w:val="2"/>
        </w:numPr>
        <w:spacing w:after="80"/>
      </w:pPr>
      <w:r>
        <w:rPr>
          <w:rFonts w:ascii="Arial" w:cs="Arial" w:eastAsia="Arial" w:hAnsi="Arial"/>
          <w:sz w:val="22"/>
          <w:szCs w:val="22"/>
        </w:rPr>
        <w:t xml:space="preserve">What is the recommended approach for standardizing Silver transformation logic across data domains — how do we avoid each domain becoming a bespoke pipeline?</w:t>
      </w:r>
    </w:p>
    <w:p>
      <w:pPr>
        <w:pStyle w:val="ListParagraph"/>
        <w:numPr>
          <w:ilvl w:val="0"/>
          <w:numId w:val="2"/>
        </w:numPr>
        <w:spacing w:after="80"/>
      </w:pPr>
      <w:r>
        <w:rPr>
          <w:rFonts w:ascii="Arial" w:cs="Arial" w:eastAsia="Arial" w:hAnsi="Arial"/>
          <w:sz w:val="22"/>
          <w:szCs w:val="22"/>
        </w:rPr>
        <w:t xml:space="preserve">How should we structure DLT data quality expectations (expect, expect_or_drop, expect_or_fail) for our known data quality issues — duplication and null handling specifically?</w:t>
      </w:r>
    </w:p>
    <w:p>
      <w:pPr>
        <w:pStyle w:val="ListParagraph"/>
        <w:numPr>
          <w:ilvl w:val="0"/>
          <w:numId w:val="2"/>
        </w:numPr>
        <w:spacing w:after="80"/>
      </w:pPr>
      <w:r>
        <w:rPr>
          <w:rFonts w:ascii="Arial" w:cs="Arial" w:eastAsia="Arial" w:hAnsi="Arial"/>
          <w:sz w:val="22"/>
          <w:szCs w:val="22"/>
        </w:rPr>
        <w:t xml:space="preserve">What monitoring and alerting do you recommend for production ingestion pipelines — how do we know when a pipeline fails, degrades, or produces unexpected output?</w:t>
      </w:r>
    </w:p>
    <w:p>
      <w:pPr>
        <w:pStyle w:val="ListParagraph"/>
        <w:numPr>
          <w:ilvl w:val="0"/>
          <w:numId w:val="2"/>
        </w:numPr>
        <w:spacing w:after="80"/>
      </w:pPr>
      <w:r>
        <w:rPr>
          <w:rFonts w:ascii="Arial" w:cs="Arial" w:eastAsia="Arial" w:hAnsi="Arial"/>
          <w:sz w:val="22"/>
          <w:szCs w:val="22"/>
        </w:rPr>
        <w:t xml:space="preserve">What is the recommended strategy for backfilling historical data for new domains being onboarded?</w:t>
      </w:r>
    </w:p>
    <w:p>
      <w:pPr>
        <w:spacing w:after="160"/>
      </w:pPr>
    </w:p>
    <w:p>
      <w:r>
        <w:br/>
      </w:r>
    </w:p>
    <w:p>
      <w:pPr>
        <w:pStyle w:val="Heading1"/>
        <w:pBdr>
          <w:bottom w:val="single" w:color="E8002D" w:sz="6" w:space="4"/>
        </w:pBdr>
        <w:spacing w:after="160" w:before="360"/>
      </w:pPr>
      <w:r>
        <w:rPr>
          <w:rFonts w:ascii="Arial" w:cs="Arial" w:eastAsia="Arial" w:hAnsi="Arial"/>
          <w:b/>
          <w:bCs/>
          <w:color w:val="1F3864"/>
          <w:sz w:val="32"/>
          <w:szCs w:val="32"/>
        </w:rPr>
        <w:t xml:space="preserve">3. End-User Application Layer</w:t>
      </w:r>
    </w:p>
    <w:p>
      <w:pPr>
        <w:spacing w:after="120" w:before="80"/>
      </w:pPr>
      <w:r>
        <w:rPr>
          <w:rFonts w:ascii="Arial" w:cs="Arial" w:eastAsia="Arial" w:hAnsi="Arial"/>
          <w:sz w:val="22"/>
          <w:szCs w:val="22"/>
        </w:rPr>
        <w:t xml:space="preserve">With a Gold layer in place, the next priority is making data products accessible to business users in ways they can actually use. This covers three distinct capability areas: self-service analytics via Genie, custom interactive applications via Databricks Apps, and governed AI interactions via Unity AI Gateway.</w:t>
      </w:r>
    </w:p>
    <w:p>
      <w:pPr>
        <w:pStyle w:val="Heading2"/>
        <w:spacing w:after="120" w:before="240"/>
      </w:pPr>
      <w:r>
        <w:rPr>
          <w:rFonts w:ascii="Arial" w:cs="Arial" w:eastAsia="Arial" w:hAnsi="Arial"/>
          <w:b/>
          <w:bCs/>
          <w:color w:val="2E5FAC"/>
          <w:sz w:val="26"/>
          <w:szCs w:val="26"/>
        </w:rPr>
        <w:t xml:space="preserve">3.1 Choosing the Right Tool for Each Use Case</w:t>
      </w:r>
    </w:p>
    <w:p>
      <w:pPr>
        <w:spacing w:after="120" w:before="80"/>
      </w:pPr>
      <w:r>
        <w:rPr>
          <w:rFonts w:ascii="Arial" w:cs="Arial" w:eastAsia="Arial" w:hAnsi="Arial"/>
          <w:sz w:val="22"/>
          <w:szCs w:val="22"/>
        </w:rPr>
        <w:t xml:space="preserve">Not every business user need is served by the same tool. The table below maps use case types to the right platform capability — use this to categorize your priority use cases before the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8"/>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 Type</w:t>
            </w:r>
          </w:p>
        </w:tc>
        <w:tc>
          <w:tcPr>
            <w:tcW w:type="dxa" w:w="1872"/>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Right Tool</w:t>
            </w:r>
          </w:p>
        </w:tc>
        <w:tc>
          <w:tcPr>
            <w:tcW w:type="dxa" w:w="4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r>
      <w:tr>
        <w:tc>
          <w:tcPr>
            <w:tcW w:type="dxa" w:w="28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user asks ad-hoc data questions in plain English</w:t>
            </w:r>
          </w:p>
        </w:tc>
        <w:tc>
          <w:tcPr>
            <w:tcW w:type="dxa" w:w="187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Genie Space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Natural language to SQL via AI. Business users get instant answers without waiting for analysts or writing queries.</w:t>
            </w:r>
          </w:p>
        </w:tc>
      </w:tr>
      <w:tr>
        <w:tc>
          <w:tcPr>
            <w:tcW w:type="dxa" w:w="2808"/>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Executive or team views KPI dashboard and tracks metrics</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AI/BI Dashboard via Genie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No-code dashboards built directly on Gold tables. Served through the Genie interface with governed access.</w:t>
            </w:r>
          </w:p>
        </w:tc>
      </w:tr>
      <w:tr>
        <w:tc>
          <w:tcPr>
            <w:tcW w:type="dxa" w:w="28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Manager approves a request or submits a form (write-back needed)</w:t>
            </w:r>
          </w:p>
        </w:tc>
        <w:tc>
          <w:tcPr>
            <w:tcW w:type="dxa" w:w="187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Databricks App + Lakebase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transactional state. Lakebase is managed PostgreSQL inside the lakehouse — no external DB needed.</w:t>
            </w:r>
          </w:p>
        </w:tc>
      </w:tr>
      <w:tr>
        <w:tc>
          <w:tcPr>
            <w:tcW w:type="dxa" w:w="2808"/>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Interactive network graph with role-based dynamic widgets</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Databricks App (Plotly Dash)</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Existing Plotly/NetworkX notebook code moves into Dash. Callbacks drive widget interactivity based on user job function.</w:t>
            </w:r>
          </w:p>
        </w:tc>
      </w:tr>
      <w:tr>
        <w:tc>
          <w:tcPr>
            <w:tcW w:type="dxa" w:w="28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prompt sent to an LLM — requires full audit trail</w:t>
            </w:r>
          </w:p>
        </w:tc>
        <w:tc>
          <w:tcPr>
            <w:tcW w:type="dxa" w:w="187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Unity AI Gateway + Inference Tables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requests and responses logged to Delta tables in Unity Catalog. PII guardrails and cost tracking built in.</w:t>
            </w:r>
          </w:p>
        </w:tc>
      </w:tr>
      <w:tr>
        <w:tc>
          <w:tcPr>
            <w:tcW w:type="dxa" w:w="2808"/>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monitoring dashboard for security / FinOps teams</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AI/BI Dashboard or Databricks App on Inference Tables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Inference tables are queryable like any Delta table. Build dashboards or a custom monitoring app on top.</w:t>
            </w:r>
          </w:p>
        </w:tc>
      </w:tr>
      <w:tr>
        <w:tc>
          <w:tcPr>
            <w:tcW w:type="dxa" w:w="28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or AI app needs to store session state or conversation history</w:t>
            </w:r>
          </w:p>
        </w:tc>
        <w:tc>
          <w:tcPr>
            <w:tcW w:type="dxa" w:w="187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Lakebase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Low-latency PostgreSQL reads/writes. Scales to zero when idle. Stays inside the platform — no external DB.</w:t>
            </w:r>
          </w:p>
        </w:tc>
      </w:tr>
      <w:tr>
        <w:tc>
          <w:tcPr>
            <w:tcW w:type="dxa" w:w="2808"/>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user needs governed self-service on a specific data domain</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Genie Space (domain-scoped)</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team configures tables, sample queries, and business logic into a curated Genie Space per domain.</w:t>
            </w:r>
          </w:p>
        </w:tc>
      </w:tr>
    </w:tbl>
    <w:p>
      <w:pPr>
        <w:spacing w:after="160"/>
      </w:pPr>
    </w:p>
    <w:p>
      <w:pPr>
        <w:pStyle w:val="Heading2"/>
        <w:spacing w:after="120" w:before="240"/>
      </w:pPr>
      <w:r>
        <w:rPr>
          <w:rFonts w:ascii="Arial" w:cs="Arial" w:eastAsia="Arial" w:hAnsi="Arial"/>
          <w:b/>
          <w:bCs/>
          <w:color w:val="2E5FAC"/>
          <w:sz w:val="26"/>
          <w:szCs w:val="26"/>
        </w:rPr>
        <w:t xml:space="preserve">3.2 Genie Spaces &amp; AI/BI Dashboards</w:t>
      </w:r>
    </w:p>
    <w:p>
      <w:pPr>
        <w:spacing w:after="120" w:before="80"/>
      </w:pPr>
      <w:r>
        <w:rPr>
          <w:rFonts w:ascii="Arial" w:cs="Arial" w:eastAsia="Arial" w:hAnsi="Arial"/>
          <w:sz w:val="22"/>
          <w:szCs w:val="22"/>
        </w:rPr>
        <w:t xml:space="preserve">Genie Spaces are curated conversational analytics environments that allow business users to query your Gold layer in plain English. They require deliberate configuration by your data team to work well — the quality of the Genie Space is a direct reflection of the quality of your Gold layer design and metadata.</w:t>
      </w:r>
    </w:p>
    <w:p>
      <w:pPr>
        <w:spacing w:after="80"/>
      </w:pPr>
    </w:p>
    <w:p>
      <w:pPr>
        <w:pStyle w:val="Heading3"/>
        <w:spacing w:after="80" w:before="200"/>
      </w:pPr>
      <w:r>
        <w:rPr>
          <w:rFonts w:ascii="Arial" w:cs="Arial" w:eastAsia="Arial" w:hAnsi="Arial"/>
          <w:b/>
          <w:bCs/>
          <w:color w:val="1F3864"/>
          <w:sz w:val="23"/>
          <w:szCs w:val="23"/>
        </w:rPr>
        <w:t xml:space="preserve">Key Information to Provide</w:t>
      </w:r>
    </w:p>
    <w:p>
      <w:pPr>
        <w:pStyle w:val="ListParagraph"/>
        <w:numPr>
          <w:ilvl w:val="0"/>
          <w:numId w:val="2"/>
        </w:numPr>
        <w:spacing w:after="80"/>
      </w:pPr>
      <w:r>
        <w:rPr>
          <w:rFonts w:ascii="Arial" w:cs="Arial" w:eastAsia="Arial" w:hAnsi="Arial"/>
          <w:b/>
          <w:bCs/>
          <w:color w:val="2E5FAC"/>
          <w:sz w:val="22"/>
          <w:szCs w:val="22"/>
        </w:rPr>
        <w:t xml:space="preserve">Gold layer table design: </w:t>
      </w:r>
      <w:r>
        <w:rPr>
          <w:rFonts w:ascii="Arial" w:cs="Arial" w:eastAsia="Arial" w:hAnsi="Arial"/>
          <w:sz w:val="22"/>
          <w:szCs w:val="22"/>
        </w:rPr>
        <w:t xml:space="preserve">Describe how your Gold tables are currently structured — star schema, wide tables, aggregates? Genie performs best with well-named columns, defined primary/foreign key relationships, and Unity Catalog table and column descriptions populated.</w:t>
      </w:r>
    </w:p>
    <w:p>
      <w:pPr>
        <w:pStyle w:val="ListParagraph"/>
        <w:numPr>
          <w:ilvl w:val="0"/>
          <w:numId w:val="2"/>
        </w:numPr>
        <w:spacing w:after="80"/>
      </w:pPr>
      <w:r>
        <w:rPr>
          <w:rFonts w:ascii="Arial" w:cs="Arial" w:eastAsia="Arial" w:hAnsi="Arial"/>
          <w:b/>
          <w:bCs/>
          <w:color w:val="2E5FAC"/>
          <w:sz w:val="22"/>
          <w:szCs w:val="22"/>
        </w:rPr>
        <w:t xml:space="preserve">Target user population for Genie: </w:t>
      </w:r>
      <w:r>
        <w:rPr>
          <w:rFonts w:ascii="Arial" w:cs="Arial" w:eastAsia="Arial" w:hAnsi="Arial"/>
          <w:sz w:val="22"/>
          <w:szCs w:val="22"/>
        </w:rPr>
        <w:t xml:space="preserve">Which teams or job functions are the first Genie users? What kinds of questions do they typically ask analysts today? Bring 5–10 concrete example questions — these become Genie Space benchmark queries.</w:t>
      </w:r>
    </w:p>
    <w:p>
      <w:pPr>
        <w:pStyle w:val="ListParagraph"/>
        <w:numPr>
          <w:ilvl w:val="0"/>
          <w:numId w:val="2"/>
        </w:numPr>
        <w:spacing w:after="80"/>
      </w:pPr>
      <w:r>
        <w:rPr>
          <w:rFonts w:ascii="Arial" w:cs="Arial" w:eastAsia="Arial" w:hAnsi="Arial"/>
          <w:b/>
          <w:bCs/>
          <w:color w:val="2E5FAC"/>
          <w:sz w:val="22"/>
          <w:szCs w:val="22"/>
        </w:rPr>
        <w:t xml:space="preserve">Access control requirements: </w:t>
      </w:r>
      <w:r>
        <w:rPr>
          <w:rFonts w:ascii="Arial" w:cs="Arial" w:eastAsia="Arial" w:hAnsi="Arial"/>
          <w:sz w:val="22"/>
          <w:szCs w:val="22"/>
        </w:rPr>
        <w:t xml:space="preserve">Which user groups should see which data? Row-level and column-level security in Unity Catalog flows through to Genie automatically — confirm your current RLS/CLS setup.</w:t>
      </w:r>
    </w:p>
    <w:p>
      <w:pPr>
        <w:spacing w:after="80"/>
      </w:pPr>
    </w:p>
    <w:p>
      <w:pPr>
        <w:pStyle w:val="Heading3"/>
        <w:spacing w:after="80" w:before="200"/>
      </w:pPr>
      <w:r>
        <w:rPr>
          <w:rFonts w:ascii="Arial" w:cs="Arial" w:eastAsia="Arial" w:hAnsi="Arial"/>
          <w:b/>
          <w:bCs/>
          <w:color w:val="1F3864"/>
          <w:sz w:val="23"/>
          <w:szCs w:val="23"/>
        </w:rPr>
        <w:t xml:space="preserve">Questions to Ask — Genie</w:t>
      </w:r>
    </w:p>
    <w:p>
      <w:pPr>
        <w:pStyle w:val="ListParagraph"/>
        <w:numPr>
          <w:ilvl w:val="0"/>
          <w:numId w:val="2"/>
        </w:numPr>
        <w:spacing w:after="80"/>
      </w:pPr>
      <w:r>
        <w:rPr>
          <w:rFonts w:ascii="Arial" w:cs="Arial" w:eastAsia="Arial" w:hAnsi="Arial"/>
          <w:sz w:val="22"/>
          <w:szCs w:val="22"/>
        </w:rPr>
        <w:t xml:space="preserve">What Gold layer table design characteristics produce the best Genie accuracy — how many tables per Genie Space, column naming conventions, and the role of Unity Catalog column descriptions?</w:t>
      </w:r>
    </w:p>
    <w:p>
      <w:pPr>
        <w:pStyle w:val="ListParagraph"/>
        <w:numPr>
          <w:ilvl w:val="0"/>
          <w:numId w:val="2"/>
        </w:numPr>
        <w:spacing w:after="80"/>
      </w:pPr>
      <w:r>
        <w:rPr>
          <w:rFonts w:ascii="Arial" w:cs="Arial" w:eastAsia="Arial" w:hAnsi="Arial"/>
          <w:sz w:val="22"/>
          <w:szCs w:val="22"/>
        </w:rPr>
        <w:t xml:space="preserve">How should we configure Genie Space benchmarks and 'Ask for Review' workflows so our data team can systematically improve accuracy over time?</w:t>
      </w:r>
    </w:p>
    <w:p>
      <w:pPr>
        <w:pStyle w:val="ListParagraph"/>
        <w:numPr>
          <w:ilvl w:val="0"/>
          <w:numId w:val="2"/>
        </w:numPr>
        <w:spacing w:after="80"/>
      </w:pPr>
      <w:r>
        <w:rPr>
          <w:rFonts w:ascii="Arial" w:cs="Arial" w:eastAsia="Arial" w:hAnsi="Arial"/>
          <w:sz w:val="22"/>
          <w:szCs w:val="22"/>
        </w:rPr>
        <w:t xml:space="preserve">Can Genie Spaces enforce row-level security per user's job function, and how does that interact with the Unity Catalog permissions already in place?</w:t>
      </w:r>
    </w:p>
    <w:p>
      <w:pPr>
        <w:pStyle w:val="ListParagraph"/>
        <w:numPr>
          <w:ilvl w:val="0"/>
          <w:numId w:val="2"/>
        </w:numPr>
        <w:spacing w:after="80"/>
      </w:pPr>
      <w:r>
        <w:rPr>
          <w:rFonts w:ascii="Arial" w:cs="Arial" w:eastAsia="Arial" w:hAnsi="Arial"/>
          <w:sz w:val="22"/>
          <w:szCs w:val="22"/>
        </w:rPr>
        <w:t xml:space="preserve">What is the recommended approach for embedding Genie into Microsoft Teams or other collaboration tools our business users already use?</w:t>
      </w:r>
    </w:p>
    <w:p>
      <w:pPr>
        <w:pStyle w:val="ListParagraph"/>
        <w:numPr>
          <w:ilvl w:val="0"/>
          <w:numId w:val="2"/>
        </w:numPr>
        <w:spacing w:after="80"/>
      </w:pPr>
      <w:r>
        <w:rPr>
          <w:rFonts w:ascii="Arial" w:cs="Arial" w:eastAsia="Arial" w:hAnsi="Arial"/>
          <w:sz w:val="22"/>
          <w:szCs w:val="22"/>
        </w:rPr>
        <w:t xml:space="preserve">How do Genie Spaces and AI/BI Dashboards coexist — what is the recommended handoff between a fixed dashboard and an ad-hoc Genie conversation?</w:t>
      </w:r>
    </w:p>
    <w:p>
      <w:pPr>
        <w:spacing w:after="120"/>
      </w:pPr>
    </w:p>
    <w:p>
      <w:pPr>
        <w:pStyle w:val="Heading2"/>
        <w:spacing w:after="120" w:before="240"/>
      </w:pPr>
      <w:r>
        <w:rPr>
          <w:rFonts w:ascii="Arial" w:cs="Arial" w:eastAsia="Arial" w:hAnsi="Arial"/>
          <w:b/>
          <w:bCs/>
          <w:color w:val="2E5FAC"/>
          <w:sz w:val="26"/>
          <w:szCs w:val="26"/>
        </w:rPr>
        <w:t xml:space="preserve">3.3 Databricks Apps — Interactive Applications</w:t>
      </w:r>
    </w:p>
    <w:p>
      <w:pPr>
        <w:spacing w:after="120" w:before="80"/>
      </w:pPr>
      <w:r>
        <w:rPr>
          <w:rFonts w:ascii="Arial" w:cs="Arial" w:eastAsia="Arial" w:hAnsi="Arial"/>
          <w:sz w:val="22"/>
          <w:szCs w:val="22"/>
        </w:rPr>
        <w:t xml:space="preserve">Databricks Apps allow you to host Python-based web applications (Streamlit, Plotly Dash, Flask) natively on the Databricks platform, with authentication, governance, and data access inherited automatically from your existing Unity Catalog setup.</w:t>
      </w:r>
    </w:p>
    <w:p>
      <w:pPr>
        <w:spacing w:after="80"/>
      </w:pPr>
    </w:p>
    <w:p>
      <w:pPr>
        <w:pStyle w:val="Heading3"/>
        <w:spacing w:after="80" w:before="200"/>
      </w:pPr>
      <w:r>
        <w:rPr>
          <w:rFonts w:ascii="Arial" w:cs="Arial" w:eastAsia="Arial" w:hAnsi="Arial"/>
          <w:b/>
          <w:bCs/>
          <w:color w:val="1F3864"/>
          <w:sz w:val="23"/>
          <w:szCs w:val="23"/>
        </w:rPr>
        <w:t xml:space="preserve">Priority Use Case: Plotly + NetworkX Interactive Visual</w:t>
      </w:r>
    </w:p>
    <w:p>
      <w:pPr>
        <w:spacing w:after="120" w:before="80"/>
      </w:pPr>
      <w:r>
        <w:rPr>
          <w:rFonts w:ascii="Arial" w:cs="Arial" w:eastAsia="Arial" w:hAnsi="Arial"/>
          <w:sz w:val="22"/>
          <w:szCs w:val="22"/>
        </w:rPr>
        <w:t xml:space="preserve">Your existing notebook-based Plotly and NetworkX visualizations are strong candidates to be promoted to a Databricks App. The migration path is well-established and Plotly Dash is a formally supported framework.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17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c>
          <w:tcPr>
            <w:tcW w:type="dxa" w:w="4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Detail</w:t>
            </w:r>
          </w:p>
        </w:tc>
      </w:tr>
      <w:tr>
        <w:tc>
          <w:tcPr>
            <w:tcW w:type="dxa" w:w="117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1</w:t>
            </w:r>
          </w:p>
        </w:tc>
        <w:tc>
          <w:tcPr>
            <w:tcW w:type="dxa" w:w="351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Migrate notebook code into a Dash app</w:t>
            </w:r>
          </w:p>
        </w:tc>
        <w:tc>
          <w:tcPr>
            <w:tcW w:type="dxa" w:w="468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Existing Plotly and NetworkX visualization code transfers with minimal changes. Wrap in a Dash layout with app.layout and a callback structure.</w:t>
            </w:r>
          </w:p>
        </w:tc>
      </w:tr>
      <w:tr>
        <w:tc>
          <w:tcPr>
            <w:tcW w:type="dxa" w:w="11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2</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Add Dash callbacks for interactive widgets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Dropdowns, sliders, and radio buttons are wired to Python callbacks that re-render the graph. Widget options can be driven by data from your Gold layer.</w:t>
            </w:r>
          </w:p>
        </w:tc>
      </w:tr>
      <w:tr>
        <w:tc>
          <w:tcPr>
            <w:tcW w:type="dxa" w:w="117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3</w:t>
            </w:r>
          </w:p>
        </w:tc>
        <w:tc>
          <w:tcPr>
            <w:tcW w:type="dxa" w:w="351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Implement role-based filtering by job function</w:t>
            </w:r>
          </w:p>
        </w:tc>
        <w:tc>
          <w:tcPr>
            <w:tcW w:type="dxa" w:w="468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Databricks Apps exposes the authenticated user identity. Query a Unity Catalog table or Lakebase to look up the user's job function and conditionally render widgets and filter data accordingly.</w:t>
            </w:r>
          </w:p>
        </w:tc>
      </w:tr>
      <w:tr>
        <w:tc>
          <w:tcPr>
            <w:tcW w:type="dxa" w:w="11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4</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Connect to Gold layer via SQL Warehouse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the Databricks SQL Connector for Python or SQLAlchemy to query Gold tables. The app inherits the user's Unity Catalog permissions — they only see data they are authorized for.</w:t>
            </w:r>
          </w:p>
        </w:tc>
      </w:tr>
      <w:tr>
        <w:tc>
          <w:tcPr>
            <w:tcW w:type="dxa" w:w="117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5</w:t>
            </w:r>
          </w:p>
        </w:tc>
        <w:tc>
          <w:tcPr>
            <w:tcW w:type="dxa" w:w="351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Deploy as a Databricks App</w:t>
            </w:r>
          </w:p>
        </w:tc>
        <w:tc>
          <w:tcPr>
            <w:tcW w:type="dxa" w:w="468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external hosting or infrastructure required. The app lives inside the Databricks workspace with the same security perimeter as your data.</w:t>
            </w:r>
          </w:p>
        </w:tc>
      </w:tr>
    </w:tbl>
    <w:p>
      <w:pPr>
        <w:spacing w:after="120"/>
      </w:pPr>
    </w:p>
    <w:p>
      <w:pPr>
        <w:pStyle w:val="Heading3"/>
        <w:spacing w:after="80" w:before="200"/>
      </w:pPr>
      <w:r>
        <w:rPr>
          <w:rFonts w:ascii="Arial" w:cs="Arial" w:eastAsia="Arial" w:hAnsi="Arial"/>
          <w:b/>
          <w:bCs/>
          <w:color w:val="1F3864"/>
          <w:sz w:val="23"/>
          <w:szCs w:val="23"/>
        </w:rPr>
        <w:t xml:space="preserve">Questions to Ask — Databricks Apps</w:t>
      </w:r>
    </w:p>
    <w:p>
      <w:pPr>
        <w:pStyle w:val="ListParagraph"/>
        <w:numPr>
          <w:ilvl w:val="0"/>
          <w:numId w:val="2"/>
        </w:numPr>
        <w:spacing w:after="80"/>
      </w:pPr>
      <w:r>
        <w:rPr>
          <w:rFonts w:ascii="Arial" w:cs="Arial" w:eastAsia="Arial" w:hAnsi="Arial"/>
          <w:sz w:val="22"/>
          <w:szCs w:val="22"/>
        </w:rPr>
        <w:t xml:space="preserve">For our Plotly + NetworkX use case, do you recommend Streamlit or Plotly Dash as the framework — what are the trade-offs given our need for dynamic graph re-rendering and role-based widget logic?</w:t>
      </w:r>
    </w:p>
    <w:p>
      <w:pPr>
        <w:pStyle w:val="ListParagraph"/>
        <w:numPr>
          <w:ilvl w:val="0"/>
          <w:numId w:val="2"/>
        </w:numPr>
        <w:spacing w:after="80"/>
      </w:pPr>
      <w:r>
        <w:rPr>
          <w:rFonts w:ascii="Arial" w:cs="Arial" w:eastAsia="Arial" w:hAnsi="Arial"/>
          <w:sz w:val="22"/>
          <w:szCs w:val="22"/>
        </w:rPr>
        <w:t xml:space="preserve">How do we access the authenticated user identity inside a Databricks App to drive role-based widget rendering and data filtering?</w:t>
      </w:r>
    </w:p>
    <w:p>
      <w:pPr>
        <w:pStyle w:val="ListParagraph"/>
        <w:numPr>
          <w:ilvl w:val="0"/>
          <w:numId w:val="2"/>
        </w:numPr>
        <w:spacing w:after="80"/>
      </w:pPr>
      <w:r>
        <w:rPr>
          <w:rFonts w:ascii="Arial" w:cs="Arial" w:eastAsia="Arial" w:hAnsi="Arial"/>
          <w:sz w:val="22"/>
          <w:szCs w:val="22"/>
        </w:rPr>
        <w:t xml:space="preserve">What is the recommended compute sizing for a Databricks App serving a network graph visualization to a moderate number of concurrent users?</w:t>
      </w:r>
    </w:p>
    <w:p>
      <w:pPr>
        <w:pStyle w:val="ListParagraph"/>
        <w:numPr>
          <w:ilvl w:val="0"/>
          <w:numId w:val="2"/>
        </w:numPr>
        <w:spacing w:after="80"/>
      </w:pPr>
      <w:r>
        <w:rPr>
          <w:rFonts w:ascii="Arial" w:cs="Arial" w:eastAsia="Arial" w:hAnsi="Arial"/>
          <w:sz w:val="22"/>
          <w:szCs w:val="22"/>
        </w:rPr>
        <w:t xml:space="preserve">How do Databricks Apps handle versioning and deployment — what is the recommended CI/CD approach for updating an app without downtime?</w:t>
      </w:r>
    </w:p>
    <w:p>
      <w:pPr>
        <w:pStyle w:val="ListParagraph"/>
        <w:numPr>
          <w:ilvl w:val="0"/>
          <w:numId w:val="2"/>
        </w:numPr>
        <w:spacing w:after="80"/>
      </w:pPr>
      <w:r>
        <w:rPr>
          <w:rFonts w:ascii="Arial" w:cs="Arial" w:eastAsia="Arial" w:hAnsi="Arial"/>
          <w:sz w:val="22"/>
          <w:szCs w:val="22"/>
        </w:rPr>
        <w:t xml:space="preserve">Can a Databricks App query both Gold layer Delta tables via SQL Warehouse and a Lakebase database in the same session — how does the connection management work?</w:t>
      </w:r>
    </w:p>
    <w:p>
      <w:pPr>
        <w:spacing w:after="120"/>
      </w:pPr>
    </w:p>
    <w:p>
      <w:pPr>
        <w:pStyle w:val="Heading2"/>
        <w:spacing w:after="120" w:before="240"/>
      </w:pPr>
      <w:r>
        <w:rPr>
          <w:rFonts w:ascii="Arial" w:cs="Arial" w:eastAsia="Arial" w:hAnsi="Arial"/>
          <w:b/>
          <w:bCs/>
          <w:color w:val="2E5FAC"/>
          <w:sz w:val="26"/>
          <w:szCs w:val="26"/>
        </w:rPr>
        <w:t xml:space="preserve">3.4 Lakebase — Transactional Layer for Applications</w:t>
      </w:r>
    </w:p>
    <w:p>
      <w:pPr>
        <w:spacing w:after="120" w:before="80"/>
      </w:pPr>
      <w:r>
        <w:rPr>
          <w:rFonts w:ascii="Arial" w:cs="Arial" w:eastAsia="Arial" w:hAnsi="Arial"/>
          <w:sz w:val="22"/>
          <w:szCs w:val="22"/>
        </w:rPr>
        <w:t xml:space="preserve">Lakebase is Databricks' managed PostgreSQL database integrated directly with the lakehouse. It is the right choice when an application needs to write transactional state — not just read from the lakehouse. It eliminates the need for an external database while keeping operational data inside the same governed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Lakebase?</w:t>
            </w:r>
          </w:p>
        </w:tc>
        <w:tc>
          <w:tcPr>
            <w:tcW w:type="dxa" w:w="4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App reads Gold tables and displays results to users</w:t>
            </w:r>
          </w:p>
        </w:tc>
        <w:tc>
          <w:tcPr>
            <w:tcW w:type="dxa" w:w="1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4F24"/>
                <w:sz w:val="20"/>
                <w:szCs w:val="20"/>
              </w:rPr>
              <w:t xml:space="preserve">No</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Warehouse is the right compute for read-only analytical queries from an app.</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App stores user preferences, session state, or widget settings</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Yes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Low-latency reads/writes for per-user state. PostgreSQL interface is familiar to developers.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App allows users to submit approvals, forms, or annotations</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Yes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Write-back use case. Lakebase handles transactional writes; Delta tables handle downstream analytics.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AI agent stores conversation history across sessions</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Yes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Lakebase is the recommended store for agent memory and session continuity within Databricks.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App needs to join live transactional data with Gold analytics</w:t>
            </w:r>
          </w:p>
        </w:tc>
        <w:tc>
          <w:tcPr>
            <w:tcW w:type="dxa" w:w="15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Yes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Lakebase syncs with Delta tables natively — eliminates ETL between operational and analytical layers.</w:t>
            </w:r>
          </w:p>
        </w:tc>
      </w:tr>
    </w:tbl>
    <w:p>
      <w:pPr>
        <w:spacing w:after="120"/>
      </w:pPr>
    </w:p>
    <w:p>
      <w:pPr>
        <w:pStyle w:val="Heading3"/>
        <w:spacing w:after="80" w:before="200"/>
      </w:pPr>
      <w:r>
        <w:rPr>
          <w:rFonts w:ascii="Arial" w:cs="Arial" w:eastAsia="Arial" w:hAnsi="Arial"/>
          <w:b/>
          <w:bCs/>
          <w:color w:val="1F3864"/>
          <w:sz w:val="23"/>
          <w:szCs w:val="23"/>
        </w:rPr>
        <w:t xml:space="preserve">Questions to Ask — Lakebase</w:t>
      </w:r>
    </w:p>
    <w:p>
      <w:pPr>
        <w:pStyle w:val="ListParagraph"/>
        <w:numPr>
          <w:ilvl w:val="0"/>
          <w:numId w:val="2"/>
        </w:numPr>
        <w:spacing w:after="80"/>
      </w:pPr>
      <w:r>
        <w:rPr>
          <w:rFonts w:ascii="Arial" w:cs="Arial" w:eastAsia="Arial" w:hAnsi="Arial"/>
          <w:sz w:val="22"/>
          <w:szCs w:val="22"/>
        </w:rPr>
        <w:t xml:space="preserve">For our application use cases, what is the recommended Lakebase sizing — Autoscaling versus Provisioned, and how do we right-size the compute range?</w:t>
      </w:r>
    </w:p>
    <w:p>
      <w:pPr>
        <w:pStyle w:val="ListParagraph"/>
        <w:numPr>
          <w:ilvl w:val="0"/>
          <w:numId w:val="2"/>
        </w:numPr>
        <w:spacing w:after="80"/>
      </w:pPr>
      <w:r>
        <w:rPr>
          <w:rFonts w:ascii="Arial" w:cs="Arial" w:eastAsia="Arial" w:hAnsi="Arial"/>
          <w:sz w:val="22"/>
          <w:szCs w:val="22"/>
        </w:rPr>
        <w:t xml:space="preserve">How does Delta table sync work from Lakebase — if a user writes an approval in a Lakebase table, how quickly does that appear in a downstream Gold Delta table?</w:t>
      </w:r>
    </w:p>
    <w:p>
      <w:pPr>
        <w:pStyle w:val="ListParagraph"/>
        <w:numPr>
          <w:ilvl w:val="0"/>
          <w:numId w:val="2"/>
        </w:numPr>
        <w:spacing w:after="80"/>
      </w:pPr>
      <w:r>
        <w:rPr>
          <w:rFonts w:ascii="Arial" w:cs="Arial" w:eastAsia="Arial" w:hAnsi="Arial"/>
          <w:sz w:val="22"/>
          <w:szCs w:val="22"/>
        </w:rPr>
        <w:t xml:space="preserve">What is the recommended pattern for managing Lakebase schema migrations as application requirements evolve?</w:t>
      </w:r>
    </w:p>
    <w:p>
      <w:pPr>
        <w:spacing w:after="160"/>
      </w:pPr>
    </w:p>
    <w:p>
      <w:r>
        <w:br/>
      </w:r>
    </w:p>
    <w:p>
      <w:pPr>
        <w:pStyle w:val="Heading1"/>
        <w:pBdr>
          <w:bottom w:val="single" w:color="E8002D" w:sz="6" w:space="4"/>
        </w:pBdr>
        <w:spacing w:after="160" w:before="360"/>
      </w:pPr>
      <w:r>
        <w:rPr>
          <w:rFonts w:ascii="Arial" w:cs="Arial" w:eastAsia="Arial" w:hAnsi="Arial"/>
          <w:b/>
          <w:bCs/>
          <w:color w:val="1F3864"/>
          <w:sz w:val="32"/>
          <w:szCs w:val="32"/>
        </w:rPr>
        <w:t xml:space="preserve">4. AI Governance — Unity AI Gateway &amp; Prompt Audit Logging</w:t>
      </w:r>
    </w:p>
    <w:p>
      <w:pPr>
        <w:spacing w:after="120" w:before="80"/>
      </w:pPr>
      <w:r>
        <w:rPr>
          <w:rFonts w:ascii="Arial" w:cs="Arial" w:eastAsia="Arial" w:hAnsi="Arial"/>
          <w:sz w:val="22"/>
          <w:szCs w:val="22"/>
        </w:rPr>
        <w:t xml:space="preserve">Before any AI or LLM capabilities are exposed to business users, prompt audit logging and governance controls must be in place. Unity AI Gateway is the platform-native solution and should be configured as part of any Phase 1 AI deployment.</w:t>
      </w:r>
    </w:p>
    <w:p>
      <w:pPr>
        <w:spacing w:after="80"/>
      </w:pPr>
    </w:p>
    <w:p>
      <w:pPr>
        <w:pStyle w:val="Heading2"/>
        <w:spacing w:after="120" w:before="240"/>
      </w:pPr>
      <w:r>
        <w:rPr>
          <w:rFonts w:ascii="Arial" w:cs="Arial" w:eastAsia="Arial" w:hAnsi="Arial"/>
          <w:b/>
          <w:bCs/>
          <w:color w:val="2E5FAC"/>
          <w:sz w:val="26"/>
          <w:szCs w:val="26"/>
        </w:rPr>
        <w:t xml:space="preserve">4.1 What Unity AI Gateway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62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Prompt &amp; Response Audit Logging</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request and response is automatically captured in an inference table — a queryable Delta table in Unity Catalog. Logs include user identity, timestamp, model, tokens, and cost.</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PII Detection &amp; Redaction</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Configurable guardrails detect sensitive content (names, emails, financial data) in prompts or responses and can redact or block before logging or forwarding to the model.</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Content Safety Guardrails</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LLM-judge guardrails for harmful content, prompt injection attempts, and policy violations. Each guardrail is configurable — violations are logged and can trigger rejection or masking.</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Cost Attribution</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request is logged with actual dollar cost (not just token counts), attributed by endpoint, user, team tag, or cost center. Single invoice consolidation across all LLM providers.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Monitoring UI</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an AI/BI Dashboard or a custom Databricks App directly on top of the inference Delta tables for security, FinOps, and engineering visibility.</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MCP Server Governance</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Unity AI Gateway also governs MCP server connections — controls which agents can access which external systems, with audit logging for all MCP interactions.</w:t>
            </w:r>
          </w:p>
        </w:tc>
      </w:tr>
    </w:tbl>
    <w:p>
      <w:pPr>
        <w:spacing w:after="120"/>
      </w:pPr>
    </w:p>
    <w:p>
      <w:pPr>
        <w:pStyle w:val="Heading2"/>
        <w:spacing w:after="120" w:before="240"/>
      </w:pPr>
      <w:r>
        <w:rPr>
          <w:rFonts w:ascii="Arial" w:cs="Arial" w:eastAsia="Arial" w:hAnsi="Arial"/>
          <w:b/>
          <w:bCs/>
          <w:color w:val="2E5FAC"/>
          <w:sz w:val="26"/>
          <w:szCs w:val="26"/>
        </w:rPr>
        <w:t xml:space="preserve">4.2 Monitoring UI Architecture</w:t>
      </w:r>
    </w:p>
    <w:p>
      <w:pPr>
        <w:spacing w:after="120" w:before="80"/>
      </w:pPr>
      <w:r>
        <w:rPr>
          <w:rFonts w:ascii="Arial" w:cs="Arial" w:eastAsia="Arial" w:hAnsi="Arial"/>
          <w:sz w:val="22"/>
          <w:szCs w:val="22"/>
        </w:rPr>
        <w:t xml:space="preserve">The audit log data flows directly into queryable Delta tables, enabling a monitoring dashboard that serves three distinct audiences: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106"/>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Audience</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They Need to See</w:t>
            </w:r>
          </w:p>
        </w:tc>
        <w:tc>
          <w:tcPr>
            <w:tcW w:type="dxa" w:w="374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Surface</w:t>
            </w:r>
          </w:p>
        </w:tc>
      </w:tr>
      <w:tr>
        <w:tc>
          <w:tcPr>
            <w:tcW w:type="dxa" w:w="210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Security / Compliance</w:t>
            </w:r>
          </w:p>
        </w:tc>
        <w:tc>
          <w:tcPr>
            <w:tcW w:type="dxa" w:w="351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Which users sent prompts, what was sent, were any PII or policy violations flagged, full audit trail for regulatory review.</w:t>
            </w:r>
          </w:p>
        </w:tc>
        <w:tc>
          <w:tcPr>
            <w:tcW w:type="dxa" w:w="374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5FAC"/>
                <w:sz w:val="20"/>
                <w:szCs w:val="20"/>
              </w:rPr>
              <w:t xml:space="preserve">Databricks App (custom monitoring tool) for drill-down and investigation workflow.</w:t>
            </w:r>
          </w:p>
        </w:tc>
      </w:tr>
      <w:tr>
        <w:tc>
          <w:tcPr>
            <w:tcW w:type="dxa" w:w="21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FinOps / Finance</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by team, endpoint, model, and time period. Budget vs. actual. Trend over time. Top consumers.</w:t>
            </w:r>
          </w:p>
        </w:tc>
        <w:tc>
          <w:tcPr>
            <w:tcW w:type="dxa" w:w="374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C"/>
                <w:sz w:val="20"/>
                <w:szCs w:val="20"/>
              </w:rPr>
              <w:t xml:space="preserve">AI/BI Dashboard — fast to build on inference tables, filterable by time and tag dimensions.</w:t>
            </w:r>
          </w:p>
        </w:tc>
      </w:tr>
      <w:tr>
        <w:tc>
          <w:tcPr>
            <w:tcW w:type="dxa" w:w="210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Engineering / Data Team</w:t>
            </w:r>
          </w:p>
        </w:tc>
        <w:tc>
          <w:tcPr>
            <w:tcW w:type="dxa" w:w="351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Pipeline health, model latency, error rates, failed requests, guardrail trigger frequency.</w:t>
            </w:r>
          </w:p>
        </w:tc>
        <w:tc>
          <w:tcPr>
            <w:tcW w:type="dxa" w:w="374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5FAC"/>
                <w:sz w:val="20"/>
                <w:szCs w:val="20"/>
              </w:rPr>
              <w:t xml:space="preserve">AI/BI Dashboard or Databricks App with Plotly charts for time-series monitoring.</w:t>
            </w:r>
          </w:p>
        </w:tc>
      </w:tr>
    </w:tbl>
    <w:p>
      <w:pPr>
        <w:spacing w:after="120"/>
      </w:pPr>
    </w:p>
    <w:p>
      <w:pPr>
        <w:pStyle w:val="Heading2"/>
        <w:spacing w:after="120" w:before="240"/>
      </w:pPr>
      <w:r>
        <w:rPr>
          <w:rFonts w:ascii="Arial" w:cs="Arial" w:eastAsia="Arial" w:hAnsi="Arial"/>
          <w:b/>
          <w:bCs/>
          <w:color w:val="2E5FAC"/>
          <w:sz w:val="26"/>
          <w:szCs w:val="26"/>
        </w:rPr>
        <w:t xml:space="preserve">4.3 Questions to Ask — AI Governance</w:t>
      </w:r>
    </w:p>
    <w:p>
      <w:pPr>
        <w:pStyle w:val="ListParagraph"/>
        <w:numPr>
          <w:ilvl w:val="0"/>
          <w:numId w:val="2"/>
        </w:numPr>
        <w:spacing w:after="80"/>
      </w:pPr>
      <w:r>
        <w:rPr>
          <w:rFonts w:ascii="Arial" w:cs="Arial" w:eastAsia="Arial" w:hAnsi="Arial"/>
          <w:sz w:val="22"/>
          <w:szCs w:val="22"/>
        </w:rPr>
        <w:t xml:space="preserve">Does Unity AI Gateway cover Genie prompt logging automatically, or does that require separate configuration — what is the audit scope for Genie versus custom LLM endpoints?</w:t>
      </w:r>
    </w:p>
    <w:p>
      <w:pPr>
        <w:pStyle w:val="ListParagraph"/>
        <w:numPr>
          <w:ilvl w:val="0"/>
          <w:numId w:val="2"/>
        </w:numPr>
        <w:spacing w:after="80"/>
      </w:pPr>
      <w:r>
        <w:rPr>
          <w:rFonts w:ascii="Arial" w:cs="Arial" w:eastAsia="Arial" w:hAnsi="Arial"/>
          <w:sz w:val="22"/>
          <w:szCs w:val="22"/>
        </w:rPr>
        <w:t xml:space="preserve">What fields are available in the inference table schema — specifically, does it capture user identity, full prompt text, and response text, or is there a payload logging setting we need to enable?</w:t>
      </w:r>
    </w:p>
    <w:p>
      <w:pPr>
        <w:pStyle w:val="ListParagraph"/>
        <w:numPr>
          <w:ilvl w:val="0"/>
          <w:numId w:val="2"/>
        </w:numPr>
        <w:spacing w:after="80"/>
      </w:pPr>
      <w:r>
        <w:rPr>
          <w:rFonts w:ascii="Arial" w:cs="Arial" w:eastAsia="Arial" w:hAnsi="Arial"/>
          <w:sz w:val="22"/>
          <w:szCs w:val="22"/>
        </w:rPr>
        <w:t xml:space="preserve">What is the recommended guardrail configuration for our compliance requirements — specifically for PII detection given the sensitivity of some of our SQL Server data?</w:t>
      </w:r>
    </w:p>
    <w:p>
      <w:pPr>
        <w:pStyle w:val="ListParagraph"/>
        <w:numPr>
          <w:ilvl w:val="0"/>
          <w:numId w:val="2"/>
        </w:numPr>
        <w:spacing w:after="80"/>
      </w:pPr>
      <w:r>
        <w:rPr>
          <w:rFonts w:ascii="Arial" w:cs="Arial" w:eastAsia="Arial" w:hAnsi="Arial"/>
          <w:sz w:val="22"/>
          <w:szCs w:val="22"/>
        </w:rPr>
        <w:t xml:space="preserve">Who in our organization should have access to the inference tables — what Unity Catalog permission pattern do you recommend for separating security access from engineering access?</w:t>
      </w:r>
    </w:p>
    <w:p>
      <w:pPr>
        <w:pStyle w:val="ListParagraph"/>
        <w:numPr>
          <w:ilvl w:val="0"/>
          <w:numId w:val="2"/>
        </w:numPr>
        <w:spacing w:after="80"/>
      </w:pPr>
      <w:r>
        <w:rPr>
          <w:rFonts w:ascii="Arial" w:cs="Arial" w:eastAsia="Arial" w:hAnsi="Arial"/>
          <w:sz w:val="22"/>
          <w:szCs w:val="22"/>
        </w:rPr>
        <w:t xml:space="preserve">How do we configure cost center tagging on AI Gateway endpoints so FinOps can attribute AI spend by business unit?</w:t>
      </w:r>
    </w:p>
    <w:p>
      <w:pPr>
        <w:spacing w:after="160"/>
      </w:pPr>
    </w:p>
    <w:p>
      <w:pPr>
        <w:pStyle w:val="Heading1"/>
        <w:pBdr>
          <w:bottom w:val="single" w:color="E8002D" w:sz="6" w:space="4"/>
        </w:pBdr>
        <w:spacing w:after="160" w:before="360"/>
      </w:pPr>
      <w:r>
        <w:rPr>
          <w:rFonts w:ascii="Arial" w:cs="Arial" w:eastAsia="Arial" w:hAnsi="Arial"/>
          <w:b/>
          <w:bCs/>
          <w:color w:val="1F3864"/>
          <w:sz w:val="32"/>
          <w:szCs w:val="32"/>
        </w:rPr>
        <w:t xml:space="preserve">5. SharePoint Ingestion — Structured &amp; Unstructured Files</w:t>
      </w:r>
    </w:p>
    <w:p>
      <w:pPr>
        <w:spacing w:after="120" w:before="80"/>
      </w:pPr>
      <w:r>
        <w:rPr>
          <w:rFonts w:ascii="Arial" w:cs="Arial" w:eastAsia="Arial" w:hAnsi="Arial"/>
          <w:sz w:val="22"/>
          <w:szCs w:val="22"/>
        </w:rPr>
        <w:t xml:space="preserve">Your SharePoint environment contains two distinct categories of files that require different ingestion and processing strategies: structured files (CSVs, Excel) that feed your analytical data layer, and unstructured files (PDFs, Word documents) that become context for RAG applications. Both are supported natively through Lakeflow Connect's SharePoint connector, and both support continuous, incremental ingestion as files change or new files are added.</w:t>
      </w:r>
    </w:p>
    <w:p>
      <w:pPr>
        <w:pStyle w:val="Heading2"/>
        <w:spacing w:after="120" w:before="240"/>
      </w:pPr>
      <w:r>
        <w:rPr>
          <w:rFonts w:ascii="Arial" w:cs="Arial" w:eastAsia="Arial" w:hAnsi="Arial"/>
          <w:b/>
          <w:bCs/>
          <w:color w:val="2E5FAC"/>
          <w:sz w:val="26"/>
          <w:szCs w:val="26"/>
        </w:rPr>
        <w:t xml:space="preserve">5.1 The Two SharePoint Connectors in Lakeflow Connect</w:t>
      </w:r>
    </w:p>
    <w:p>
      <w:pPr>
        <w:spacing w:after="120" w:before="80"/>
      </w:pPr>
      <w:r>
        <w:rPr>
          <w:rFonts w:ascii="Arial" w:cs="Arial" w:eastAsia="Arial" w:hAnsi="Arial"/>
          <w:sz w:val="22"/>
          <w:szCs w:val="22"/>
        </w:rPr>
        <w:t xml:space="preserve">Lakeflow Connect offers two complementary SharePoint connectors. They access the same SharePoint sites but serve fundamentally different purposes and land data in different parts of your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06"/>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Connector</w:t>
            </w:r>
          </w:p>
        </w:tc>
        <w:tc>
          <w:tcPr>
            <w:tcW w:type="dxa" w:w="1872"/>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Types</w:t>
            </w:r>
          </w:p>
        </w:tc>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Data Lands</w:t>
            </w:r>
          </w:p>
        </w:tc>
        <w:tc>
          <w:tcPr>
            <w:tcW w:type="dxa" w:w="2106"/>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Downstream Use</w:t>
            </w:r>
          </w:p>
        </w:tc>
        <w:tc>
          <w:tcPr>
            <w:tcW w:type="dxa" w:w="936"/>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Size Limit</w:t>
            </w:r>
          </w:p>
        </w:tc>
      </w:tr>
      <w:tr>
        <w:tc>
          <w:tcPr>
            <w:tcW w:type="dxa" w:w="210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SharePoint Structured Connector</w:t>
            </w:r>
          </w:p>
        </w:tc>
        <w:tc>
          <w:tcPr>
            <w:tcW w:type="dxa" w:w="187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 Excel (.xlsx, .xls)</w:t>
            </w:r>
          </w:p>
        </w:tc>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Delta tables in Unity Catalog via Bronze layer</w:t>
            </w:r>
          </w:p>
        </w:tc>
        <w:tc>
          <w:tcPr>
            <w:tcW w:type="dxa" w:w="210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 Genie Spaces, Gold aggregates, BI tools</w:t>
            </w:r>
          </w:p>
        </w:tc>
        <w:tc>
          <w:tcPr>
            <w:tcW w:type="dxa" w:w="93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bCs/>
                <w:color w:val="7F4F24"/>
                <w:sz w:val="20"/>
                <w:szCs w:val="20"/>
              </w:rPr>
              <w:t xml:space="preserve">Standard</w:t>
            </w:r>
          </w:p>
        </w:tc>
      </w:tr>
      <w:tr>
        <w:tc>
          <w:tcPr>
            <w:tcW w:type="dxa" w:w="21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SharePoint Unstructured Connector</w:t>
            </w:r>
          </w:p>
        </w:tc>
        <w:tc>
          <w:tcPr>
            <w:tcW w:type="dxa" w:w="187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Word (.docx), other documents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Unity Catalog Volumes (raw files, governed)</w:t>
            </w:r>
          </w:p>
        </w:tc>
        <w:tc>
          <w:tcPr>
            <w:tcW w:type="dxa" w:w="21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RAG pipelines, Vector Search, AI context injection</w:t>
            </w:r>
          </w:p>
        </w:tc>
        <w:tc>
          <w:tcPr>
            <w:tcW w:type="dxa" w:w="93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7F4F24"/>
                <w:sz w:val="20"/>
                <w:szCs w:val="20"/>
              </w:rPr>
              <w:t xml:space="preserve">100 MB per file</w:t>
            </w:r>
          </w:p>
        </w:tc>
      </w:tr>
    </w:tbl>
    <w:p>
      <w:pPr>
        <w:spacing w:after="120"/>
      </w:pPr>
    </w:p>
    <w:p>
      <w:pPr>
        <w:pStyle w:val="Heading2"/>
        <w:spacing w:after="120" w:before="240"/>
      </w:pPr>
      <w:r>
        <w:rPr>
          <w:rFonts w:ascii="Arial" w:cs="Arial" w:eastAsia="Arial" w:hAnsi="Arial"/>
          <w:b/>
          <w:bCs/>
          <w:color w:val="2E5FAC"/>
          <w:sz w:val="26"/>
          <w:szCs w:val="26"/>
        </w:rPr>
        <w:t xml:space="preserve">5.2 Continuous Incremental Sync — How It Works</w:t>
      </w:r>
    </w:p>
    <w:p>
      <w:pPr>
        <w:spacing w:after="120" w:before="80"/>
      </w:pPr>
      <w:r>
        <w:rPr>
          <w:rFonts w:ascii="Arial" w:cs="Arial" w:eastAsia="Arial" w:hAnsi="Arial"/>
          <w:sz w:val="22"/>
          <w:szCs w:val="22"/>
        </w:rPr>
        <w:t xml:space="preserve">Because your SharePoint files are updated periodically and new files are added over time, point-in-time ingestion is insufficient. Lakeflow Connect handles this through incremental sync — tracking changes since the last pipeline run and processing only what is new or modified.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 Type</w:t>
            </w:r>
          </w:p>
        </w:tc>
        <w:tc>
          <w:tcPr>
            <w:tcW w:type="dxa" w:w="3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Lakeflow Connect Handles It</w:t>
            </w:r>
          </w:p>
        </w:tc>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Arrives in Databricks</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New file added to SharePoint</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Detected on next pipeline run. File is ingested and processed as a new record or document.</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Delta table row (structured) or new file in Volume (unstructured).</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Existing file modified</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Connector tracks file modification timestamps. Updated file is re-ingested on the next run.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Updated row in Delta table (structured) or updated file in Volume triggering downstream re-processing (unstructured).</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File deleted from SharePoint</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Destination table or Volume file is NOT automatically deleted — must be managed manually or via a cleanup pipeline.</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Stale record or file remains until explicitly removed. Design a deletion handling strategy.</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New SharePoint site or folder added</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be explicitly added to the pipeline configuration. Not auto-discovered.</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pipeline update — raise with Databricks engineer for recommended discovery pattern.</w:t>
            </w:r>
          </w:p>
        </w:tc>
      </w:tr>
    </w:tbl>
    <w:p>
      <w:pPr>
        <w:spacing w:after="80"/>
      </w:pPr>
    </w:p>
    <w:p>
      <w:pPr>
        <w:spacing w:after="120" w:before="80"/>
      </w:pPr>
      <w:r>
        <w:rPr>
          <w:rFonts w:ascii="Arial" w:cs="Arial" w:eastAsia="Arial" w:hAnsi="Arial"/>
          <w:i/>
          <w:iCs/>
          <w:color w:val="595959"/>
          <w:sz w:val="20"/>
          <w:szCs w:val="20"/>
        </w:rPr>
        <w:t xml:space="preserve">Important: Lakeflow Connect uses scheduled pipeline runs rather than event-driven triggers. The freshness of your data is determined by how frequently you schedule the pipeline. Discuss the right schedule cadence with the Databricks engineer based on how often SharePoint files change and how quickly downstream consumers need the updates.</w:t>
      </w:r>
    </w:p>
    <w:p>
      <w:pPr>
        <w:spacing w:after="120"/>
      </w:pPr>
    </w:p>
    <w:p>
      <w:pPr>
        <w:pStyle w:val="Heading2"/>
        <w:spacing w:after="120" w:before="240"/>
      </w:pPr>
      <w:r>
        <w:rPr>
          <w:rFonts w:ascii="Arial" w:cs="Arial" w:eastAsia="Arial" w:hAnsi="Arial"/>
          <w:b/>
          <w:bCs/>
          <w:color w:val="2E5FAC"/>
          <w:sz w:val="26"/>
          <w:szCs w:val="26"/>
        </w:rPr>
        <w:t xml:space="preserve">5.3 Authentication &amp; Governance</w:t>
      </w:r>
    </w:p>
    <w:p>
      <w:pPr>
        <w:spacing w:after="120" w:before="80"/>
      </w:pPr>
      <w:r>
        <w:rPr>
          <w:rFonts w:ascii="Arial" w:cs="Arial" w:eastAsia="Arial" w:hAnsi="Arial"/>
          <w:sz w:val="22"/>
          <w:szCs w:val="22"/>
        </w:rPr>
        <w:t xml:space="preserve">Because you already have Entra ID integrated with Databricks, SharePoint authentication is straightforward. The recommended approach is Machine-to-Machine (M2M) OAuth, which scopes connector permissions to a specific SharePoint site and provides automated token refresh — no manual credential rotation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Method</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Use</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M2M OAuth (Recommended)</w:t>
            </w:r>
          </w:p>
        </w:tc>
        <w:tc>
          <w:tcPr>
            <w:tcW w:type="dxa" w:w="351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principal authenticates to SharePoint via Entra ID. Permissions scoped to specific SharePoint sites. Tokens refresh automatically.</w:t>
            </w:r>
          </w:p>
        </w:tc>
        <w:tc>
          <w:tcPr>
            <w:tcW w:type="dxa" w:w="351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choice. Use when connector should have fixed, site-scoped access independent of any individual user's permissions.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U2M OAuth</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Authenticates as a specific user. Connector inherits whatever that user can access across SharePoint.</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only if access must mirror a specific user's SharePoint permissions. Harder to manage at scale.</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7F4F24"/>
                <w:sz w:val="20"/>
                <w:szCs w:val="20"/>
              </w:rPr>
              <w:t xml:space="preserve">Legacy Token (Not Recommended)</w:t>
            </w:r>
          </w:p>
        </w:tc>
        <w:tc>
          <w:tcPr>
            <w:tcW w:type="dxa" w:w="351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token that must be refreshed by hand when it expires.</w:t>
            </w:r>
          </w:p>
        </w:tc>
        <w:tc>
          <w:tcPr>
            <w:tcW w:type="dxa" w:w="351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Avoid. No automated refresh. Creates operational risk and maintenance burden.</w:t>
            </w:r>
          </w:p>
        </w:tc>
      </w:tr>
    </w:tbl>
    <w:p>
      <w:pPr>
        <w:spacing w:after="120"/>
      </w:pPr>
    </w:p>
    <w:p>
      <w:pPr>
        <w:pStyle w:val="Heading2"/>
        <w:spacing w:after="120" w:before="240"/>
      </w:pPr>
      <w:r>
        <w:rPr>
          <w:rFonts w:ascii="Arial" w:cs="Arial" w:eastAsia="Arial" w:hAnsi="Arial"/>
          <w:b/>
          <w:bCs/>
          <w:color w:val="2E5FAC"/>
          <w:sz w:val="26"/>
          <w:szCs w:val="26"/>
        </w:rPr>
        <w:t xml:space="preserve">5.4 Where Data Lands — Structured vs. Unstructured</w:t>
      </w:r>
    </w:p>
    <w:p>
      <w:pPr>
        <w:pStyle w:val="Heading3"/>
        <w:spacing w:after="80" w:before="200"/>
      </w:pPr>
      <w:r>
        <w:rPr>
          <w:rFonts w:ascii="Arial" w:cs="Arial" w:eastAsia="Arial" w:hAnsi="Arial"/>
          <w:b/>
          <w:bCs/>
          <w:color w:val="1F3864"/>
          <w:sz w:val="23"/>
          <w:szCs w:val="23"/>
        </w:rPr>
        <w:t xml:space="preserve">Structured Files: CSV &amp; Excel → Bronze Delta Tables</w:t>
      </w:r>
    </w:p>
    <w:p>
      <w:pPr>
        <w:spacing w:after="120" w:before="80"/>
      </w:pPr>
      <w:r>
        <w:rPr>
          <w:rFonts w:ascii="Arial" w:cs="Arial" w:eastAsia="Arial" w:hAnsi="Arial"/>
          <w:sz w:val="22"/>
          <w:szCs w:val="22"/>
        </w:rPr>
        <w:t xml:space="preserve">CSVs and Excel files from SharePoint land in your existing Bronze layer as Delta tables — exactly the same destination as your SQL Server data. From there, your standard Silver and Gold DLT pipeline processes them: schema enforcement, deduplication, quality rules, and aggregation. This means SharePoint-sourced structured data flows into Genie Spaces, AI/BI Dashboards, and BI tools the same way as any other data product.</w:t>
      </w:r>
    </w:p>
    <w:p>
      <w:pPr>
        <w:spacing w:after="60"/>
      </w:pPr>
    </w:p>
    <w:p>
      <w:pPr>
        <w:pStyle w:val="ListParagraph"/>
        <w:numPr>
          <w:ilvl w:val="0"/>
          <w:numId w:val="2"/>
        </w:numPr>
        <w:spacing w:after="80"/>
      </w:pPr>
      <w:r>
        <w:rPr>
          <w:rFonts w:ascii="Arial" w:cs="Arial" w:eastAsia="Arial" w:hAnsi="Arial"/>
          <w:b/>
          <w:bCs/>
          <w:color w:val="2E5FAC"/>
          <w:sz w:val="22"/>
          <w:szCs w:val="22"/>
        </w:rPr>
        <w:t xml:space="preserve">Key design decision: </w:t>
      </w:r>
      <w:r>
        <w:rPr>
          <w:rFonts w:ascii="Arial" w:cs="Arial" w:eastAsia="Arial" w:hAnsi="Arial"/>
          <w:sz w:val="22"/>
          <w:szCs w:val="22"/>
        </w:rPr>
        <w:t xml:space="preserve">Confirm with the engineer whether SharePoint CSVs and Excel sheets land in the same Bronze catalog/schema as SQL Server data, or in a dedicated SharePoint schema. Keeping sources separated in Bronze makes lineage and debugging cleaner.</w:t>
      </w:r>
    </w:p>
    <w:p>
      <w:pPr>
        <w:pStyle w:val="ListParagraph"/>
        <w:numPr>
          <w:ilvl w:val="0"/>
          <w:numId w:val="2"/>
        </w:numPr>
        <w:spacing w:after="80"/>
      </w:pPr>
      <w:r>
        <w:rPr>
          <w:rFonts w:ascii="Arial" w:cs="Arial" w:eastAsia="Arial" w:hAnsi="Arial"/>
          <w:b/>
          <w:bCs/>
          <w:color w:val="2E5FAC"/>
          <w:sz w:val="22"/>
          <w:szCs w:val="22"/>
        </w:rPr>
        <w:t xml:space="preserve">Excel considerations: </w:t>
      </w:r>
      <w:r>
        <w:rPr>
          <w:rFonts w:ascii="Arial" w:cs="Arial" w:eastAsia="Arial" w:hAnsi="Arial"/>
          <w:sz w:val="22"/>
          <w:szCs w:val="22"/>
        </w:rPr>
        <w:t xml:space="preserve">Multi-sheet Excel files need explicit configuration — which sheet(s) to ingest, how to handle merged cells or non-tabular regions. Bring examples of your Excel file structures to the session.</w:t>
      </w:r>
    </w:p>
    <w:p>
      <w:pPr>
        <w:pStyle w:val="ListParagraph"/>
        <w:numPr>
          <w:ilvl w:val="0"/>
          <w:numId w:val="2"/>
        </w:numPr>
        <w:spacing w:after="80"/>
      </w:pPr>
      <w:r>
        <w:rPr>
          <w:rFonts w:ascii="Arial" w:cs="Arial" w:eastAsia="Arial" w:hAnsi="Arial"/>
          <w:b/>
          <w:bCs/>
          <w:color w:val="2E5FAC"/>
          <w:sz w:val="22"/>
          <w:szCs w:val="22"/>
        </w:rPr>
        <w:t xml:space="preserve">Schema drift: </w:t>
      </w:r>
      <w:r>
        <w:rPr>
          <w:rFonts w:ascii="Arial" w:cs="Arial" w:eastAsia="Arial" w:hAnsi="Arial"/>
          <w:sz w:val="22"/>
          <w:szCs w:val="22"/>
        </w:rPr>
        <w:t xml:space="preserve">SharePoint users frequently add, remove, or rename columns in Excel files. Confirm the connector's schema drift handling — Auto Loader's schema evolution capabilities may be relevant here.</w:t>
      </w:r>
    </w:p>
    <w:p>
      <w:pPr>
        <w:spacing w:after="120"/>
      </w:pPr>
    </w:p>
    <w:p>
      <w:pPr>
        <w:pStyle w:val="Heading3"/>
        <w:spacing w:after="80" w:before="200"/>
      </w:pPr>
      <w:r>
        <w:rPr>
          <w:rFonts w:ascii="Arial" w:cs="Arial" w:eastAsia="Arial" w:hAnsi="Arial"/>
          <w:b/>
          <w:bCs/>
          <w:color w:val="1F3864"/>
          <w:sz w:val="23"/>
          <w:szCs w:val="23"/>
        </w:rPr>
        <w:t xml:space="preserve">Unstructured Files: PDF &amp; Word → Unity Catalog Volumes → RAG Pipeline</w:t>
      </w:r>
    </w:p>
    <w:p>
      <w:pPr>
        <w:spacing w:after="120" w:before="80"/>
      </w:pPr>
      <w:r>
        <w:rPr>
          <w:rFonts w:ascii="Arial" w:cs="Arial" w:eastAsia="Arial" w:hAnsi="Arial"/>
          <w:sz w:val="22"/>
          <w:szCs w:val="22"/>
        </w:rPr>
        <w:t xml:space="preserve">PDFs and Word documents from SharePoint land in Unity Catalog Volumes — the platform's native governed storage for non-tabular data. Volumes sit inside the Unity Catalog hierarchy (catalog → schema → volume) so the same access control, lineage, and governance that applies to your Delta tables applies to your documents.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Pipeline Stage</w:t>
            </w:r>
          </w:p>
        </w:tc>
        <w:tc>
          <w:tcPr>
            <w:tcW w:type="dxa" w:w="2808"/>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c>
          <w:tcPr>
            <w:tcW w:type="dxa" w:w="257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Tooling</w:t>
            </w:r>
          </w:p>
        </w:tc>
        <w:tc>
          <w:tcPr>
            <w:tcW w:type="dxa" w:w="257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40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1 — Ingest</w:t>
            </w:r>
          </w:p>
        </w:tc>
        <w:tc>
          <w:tcPr>
            <w:tcW w:type="dxa" w:w="2808"/>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SharePoint PDF/DOCX files pulled incrementally via Lakeflow Connect. Raw files stored as-is.</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Lakeflow Connect (Unstructured Connector)</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Unity Catalog Volume — raw files with full governance</w:t>
            </w:r>
          </w:p>
        </w:tc>
      </w:tr>
      <w:tr>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2 — Parse</w:t>
            </w:r>
          </w:p>
        </w:tc>
        <w:tc>
          <w:tcPr>
            <w:tcW w:type="dxa" w:w="28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Text extracted from PDFs and Word documents. Tables, headers, and structure preserved where possible.</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DLT pipeline with open-source parsers (PyMuPDF, python-docx) or Unstructured.io</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Delta table of parsed document text — one row per document</w:t>
            </w:r>
          </w:p>
        </w:tc>
      </w:tr>
      <w:tr>
        <w:tc>
          <w:tcPr>
            <w:tcW w:type="dxa" w:w="140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3 — Chunk</w:t>
            </w:r>
          </w:p>
        </w:tc>
        <w:tc>
          <w:tcPr>
            <w:tcW w:type="dxa" w:w="2808"/>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Parsed text split into retrieval-sized segments. Chunking strategy tuned to document type.</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DLT pipeline — fixed-size, semantic, or document-structure-aware chunking</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Delta table of chunks — one row per chunk, with source document metadata</w:t>
            </w:r>
          </w:p>
        </w:tc>
      </w:tr>
      <w:tr>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4 — Embed</w:t>
            </w:r>
          </w:p>
        </w:tc>
        <w:tc>
          <w:tcPr>
            <w:tcW w:type="dxa" w:w="28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Each chunk converted to a vector representation capturing its semantic meaning.</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Databricks Model Serving (e.g. databricks-gte-large-en) or custom embedding model</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Delta table with chunk text + embedding vector column</w:t>
            </w:r>
          </w:p>
        </w:tc>
      </w:tr>
      <w:tr>
        <w:tc>
          <w:tcPr>
            <w:tcW w:type="dxa" w:w="140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5 — Index</w:t>
            </w:r>
          </w:p>
        </w:tc>
        <w:tc>
          <w:tcPr>
            <w:tcW w:type="dxa" w:w="2808"/>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Vector index built on the embeddings table. Kept in sync automatically as new chunks arrive.</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Databricks Vector Search — Delta Sync index (auto-updates on new data)</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Vector Search endpoint — queryable by RAG application</w:t>
            </w:r>
          </w:p>
        </w:tc>
      </w:tr>
      <w:tr>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6 — Retrieve</w:t>
            </w:r>
          </w:p>
        </w:tc>
        <w:tc>
          <w:tcPr>
            <w:tcW w:type="dxa" w:w="28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3864"/>
                <w:sz w:val="20"/>
                <w:szCs w:val="20"/>
              </w:rPr>
              <w:t xml:space="preserve">RAG application queries Vector Search with a user question. Top-k most relevant chunks returned as context.</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Databricks Agent Framework or LangChain / custom app</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Context chunks injected into LLM prompt via Unity AI Gateway</w:t>
            </w:r>
          </w:p>
        </w:tc>
      </w:tr>
    </w:tbl>
    <w:p>
      <w:pPr>
        <w:spacing w:after="80"/>
      </w:pPr>
    </w:p>
    <w:p>
      <w:pPr>
        <w:spacing w:after="120" w:before="80"/>
      </w:pPr>
      <w:r>
        <w:rPr>
          <w:rFonts w:ascii="Arial" w:cs="Arial" w:eastAsia="Arial" w:hAnsi="Arial"/>
          <w:i/>
          <w:iCs/>
          <w:color w:val="595959"/>
          <w:sz w:val="20"/>
          <w:szCs w:val="20"/>
        </w:rPr>
        <w:t xml:space="preserve">The Delta Sync index in Vector Search is the critical choice here: as your DLT pipeline processes new or updated documents from SharePoint and writes new chunks to the embeddings Delta table, the Vector Search index updates automatically. This means your RAG application always has access to the latest document content without any manual re-indexing step.</w:t>
      </w:r>
    </w:p>
    <w:p>
      <w:pPr>
        <w:spacing w:after="120"/>
      </w:pPr>
    </w:p>
    <w:p>
      <w:pPr>
        <w:pStyle w:val="Heading2"/>
        <w:spacing w:after="120" w:before="240"/>
      </w:pPr>
      <w:r>
        <w:rPr>
          <w:rFonts w:ascii="Arial" w:cs="Arial" w:eastAsia="Arial" w:hAnsi="Arial"/>
          <w:b/>
          <w:bCs/>
          <w:color w:val="2E5FAC"/>
          <w:sz w:val="26"/>
          <w:szCs w:val="26"/>
        </w:rPr>
        <w:t xml:space="preserve">5.5 Key Design Decisions to Resolve in the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Options to Discuss</w:t>
            </w:r>
          </w:p>
        </w:tc>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Drives the Choice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Pipeline schedule / sync frequency</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15 min / hourly / daily / event-triggered via Workflows file arrival</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How frequently do SharePoint files change, and how quickly do downstream consumers need the updates?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Chunking strategy for unstructured files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Fixed-size (e.g. 512 tokens), semantic (sentence/paragraph boundaries), document-structure-aware (by heading or section)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Dense policy PDFs need different chunking than meeting notes or procedural Word docs. Bring document examples.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Embedding model</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Databricks-hosted (databricks-gte-large-en), Azure OpenAI embeddings, or custom/fine-tuned model</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Language of documents, domain-specificity of content, latency and cost requirements.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Metadata to capture alongside chunks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 SharePoint site, last modified date, document title, file type, section heading</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Needed for RAG source citation, recency filtering, and access-control-aware retrieval.</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Deletion handling</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Soft-delete flag in Delta table, hard delete via cleanup pipeline, or manual process</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What happens to chunks in Vector Search when a source document is removed from SharePoint?</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Document deduplication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Hash-based dedup at Volume ingestion, dedup at parse stage, or accepted duplication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SharePoint often has the same document in multiple site libraries or version histories.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Access-control-aware retrieval</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Unity Catalog Volume permissions, row-level filtering in chunks table, or per-user Vector Search scoping</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Should users only retrieve chunks from documents they are authorized to access in SharePoint?</w:t>
            </w:r>
          </w:p>
        </w:tc>
      </w:tr>
    </w:tbl>
    <w:p>
      <w:pPr>
        <w:spacing w:after="120"/>
      </w:pPr>
    </w:p>
    <w:p>
      <w:pPr>
        <w:pStyle w:val="Heading2"/>
        <w:spacing w:after="120" w:before="240"/>
      </w:pPr>
      <w:r>
        <w:rPr>
          <w:rFonts w:ascii="Arial" w:cs="Arial" w:eastAsia="Arial" w:hAnsi="Arial"/>
          <w:b/>
          <w:bCs/>
          <w:color w:val="2E5FAC"/>
          <w:sz w:val="26"/>
          <w:szCs w:val="26"/>
        </w:rPr>
        <w:t xml:space="preserve">5.6 Information to Bring — SharePoint Inventory</w:t>
      </w:r>
    </w:p>
    <w:p>
      <w:pPr>
        <w:pStyle w:val="ListParagraph"/>
        <w:numPr>
          <w:ilvl w:val="0"/>
          <w:numId w:val="2"/>
        </w:numPr>
        <w:spacing w:after="80"/>
      </w:pPr>
      <w:r>
        <w:rPr>
          <w:rFonts w:ascii="Arial" w:cs="Arial" w:eastAsia="Arial" w:hAnsi="Arial"/>
          <w:b/>
          <w:bCs/>
          <w:color w:val="2E5FAC"/>
          <w:sz w:val="22"/>
          <w:szCs w:val="22"/>
        </w:rPr>
        <w:t xml:space="preserve">SharePoint sites and libraries in scope: </w:t>
      </w:r>
      <w:r>
        <w:rPr>
          <w:rFonts w:ascii="Arial" w:cs="Arial" w:eastAsia="Arial" w:hAnsi="Arial"/>
          <w:sz w:val="22"/>
          <w:szCs w:val="22"/>
        </w:rPr>
        <w:t xml:space="preserve">Which SharePoint sites contain files that need to be ingested? Are these scoped to specific document libraries or entire sites?</w:t>
      </w:r>
    </w:p>
    <w:p>
      <w:pPr>
        <w:pStyle w:val="ListParagraph"/>
        <w:numPr>
          <w:ilvl w:val="0"/>
          <w:numId w:val="2"/>
        </w:numPr>
        <w:spacing w:after="80"/>
      </w:pPr>
      <w:r>
        <w:rPr>
          <w:rFonts w:ascii="Arial" w:cs="Arial" w:eastAsia="Arial" w:hAnsi="Arial"/>
          <w:b/>
          <w:bCs/>
          <w:color w:val="2E5FAC"/>
          <w:sz w:val="22"/>
          <w:szCs w:val="22"/>
        </w:rPr>
        <w:t xml:space="preserve">File type breakdown: </w:t>
      </w:r>
      <w:r>
        <w:rPr>
          <w:rFonts w:ascii="Arial" w:cs="Arial" w:eastAsia="Arial" w:hAnsi="Arial"/>
          <w:sz w:val="22"/>
          <w:szCs w:val="22"/>
        </w:rPr>
        <w:t xml:space="preserve">Approximate count of PDFs, Word documents, CSVs, and Excel files. Are there other file types (PowerPoint, text files) that should also be considered?</w:t>
      </w:r>
    </w:p>
    <w:p>
      <w:pPr>
        <w:pStyle w:val="ListParagraph"/>
        <w:numPr>
          <w:ilvl w:val="0"/>
          <w:numId w:val="2"/>
        </w:numPr>
        <w:spacing w:after="80"/>
      </w:pPr>
      <w:r>
        <w:rPr>
          <w:rFonts w:ascii="Arial" w:cs="Arial" w:eastAsia="Arial" w:hAnsi="Arial"/>
          <w:b/>
          <w:bCs/>
          <w:color w:val="2E5FAC"/>
          <w:sz w:val="22"/>
          <w:szCs w:val="22"/>
        </w:rPr>
        <w:t xml:space="preserve">Update frequency: </w:t>
      </w:r>
      <w:r>
        <w:rPr>
          <w:rFonts w:ascii="Arial" w:cs="Arial" w:eastAsia="Arial" w:hAnsi="Arial"/>
          <w:sz w:val="22"/>
          <w:szCs w:val="22"/>
        </w:rPr>
        <w:t xml:space="preserve">How often are files typically updated — daily, weekly, ad-hoc? Are there known high-frequency update scenarios?</w:t>
      </w:r>
    </w:p>
    <w:p>
      <w:pPr>
        <w:pStyle w:val="ListParagraph"/>
        <w:numPr>
          <w:ilvl w:val="0"/>
          <w:numId w:val="2"/>
        </w:numPr>
        <w:spacing w:after="80"/>
      </w:pPr>
      <w:r>
        <w:rPr>
          <w:rFonts w:ascii="Arial" w:cs="Arial" w:eastAsia="Arial" w:hAnsi="Arial"/>
          <w:b/>
          <w:bCs/>
          <w:color w:val="2E5FAC"/>
          <w:sz w:val="22"/>
          <w:szCs w:val="22"/>
        </w:rPr>
        <w:t xml:space="preserve">File size distribution: </w:t>
      </w:r>
      <w:r>
        <w:rPr>
          <w:rFonts w:ascii="Arial" w:cs="Arial" w:eastAsia="Arial" w:hAnsi="Arial"/>
          <w:sz w:val="22"/>
          <w:szCs w:val="22"/>
        </w:rPr>
        <w:t xml:space="preserve">Note that the Lakeflow Connect SharePoint connector supports files up to 100 MB. Identify any files that may exceed this limit — they will need an alternative ingestion approach.</w:t>
      </w:r>
    </w:p>
    <w:p>
      <w:pPr>
        <w:pStyle w:val="ListParagraph"/>
        <w:numPr>
          <w:ilvl w:val="0"/>
          <w:numId w:val="2"/>
        </w:numPr>
        <w:spacing w:after="80"/>
      </w:pPr>
      <w:r>
        <w:rPr>
          <w:rFonts w:ascii="Arial" w:cs="Arial" w:eastAsia="Arial" w:hAnsi="Arial"/>
          <w:b/>
          <w:bCs/>
          <w:color w:val="2E5FAC"/>
          <w:sz w:val="22"/>
          <w:szCs w:val="22"/>
        </w:rPr>
        <w:t xml:space="preserve">Excel file structure: </w:t>
      </w:r>
      <w:r>
        <w:rPr>
          <w:rFonts w:ascii="Arial" w:cs="Arial" w:eastAsia="Arial" w:hAnsi="Arial"/>
          <w:sz w:val="22"/>
          <w:szCs w:val="22"/>
        </w:rPr>
        <w:t xml:space="preserve">Are Excel files single-sheet or multi-sheet? Do they contain formatted tables, pivot tables, or mixed tabular/narrative content? Bring representative examples.</w:t>
      </w:r>
    </w:p>
    <w:p>
      <w:pPr>
        <w:pStyle w:val="ListParagraph"/>
        <w:numPr>
          <w:ilvl w:val="0"/>
          <w:numId w:val="2"/>
        </w:numPr>
        <w:spacing w:after="80"/>
      </w:pPr>
      <w:r>
        <w:rPr>
          <w:rFonts w:ascii="Arial" w:cs="Arial" w:eastAsia="Arial" w:hAnsi="Arial"/>
          <w:b/>
          <w:bCs/>
          <w:color w:val="2E5FAC"/>
          <w:sz w:val="22"/>
          <w:szCs w:val="22"/>
        </w:rPr>
        <w:t xml:space="preserve">Downstream use cases for unstructured files: </w:t>
      </w:r>
      <w:r>
        <w:rPr>
          <w:rFonts w:ascii="Arial" w:cs="Arial" w:eastAsia="Arial" w:hAnsi="Arial"/>
          <w:sz w:val="22"/>
          <w:szCs w:val="22"/>
        </w:rPr>
        <w:t xml:space="preserve">Which specific RAG applications or AI use cases will consume the document content? This drives chunking strategy and metadata decisions.</w:t>
      </w:r>
    </w:p>
    <w:p>
      <w:pPr>
        <w:pStyle w:val="ListParagraph"/>
        <w:numPr>
          <w:ilvl w:val="0"/>
          <w:numId w:val="2"/>
        </w:numPr>
        <w:spacing w:after="80"/>
      </w:pPr>
      <w:r>
        <w:rPr>
          <w:rFonts w:ascii="Arial" w:cs="Arial" w:eastAsia="Arial" w:hAnsi="Arial"/>
          <w:b/>
          <w:bCs/>
          <w:color w:val="2E5FAC"/>
          <w:sz w:val="22"/>
          <w:szCs w:val="22"/>
        </w:rPr>
        <w:t xml:space="preserve">Access control requirements: </w:t>
      </w:r>
      <w:r>
        <w:rPr>
          <w:rFonts w:ascii="Arial" w:cs="Arial" w:eastAsia="Arial" w:hAnsi="Arial"/>
          <w:sz w:val="22"/>
          <w:szCs w:val="22"/>
        </w:rPr>
        <w:t xml:space="preserve">Should retrieval be scoped so users only see document content they are authorized to access in SharePoint? If yes, this significantly affects the Vector Search design.</w:t>
      </w:r>
    </w:p>
    <w:p>
      <w:pPr>
        <w:spacing w:after="120"/>
      </w:pPr>
    </w:p>
    <w:p>
      <w:pPr>
        <w:pStyle w:val="Heading2"/>
        <w:spacing w:after="120" w:before="240"/>
      </w:pPr>
      <w:r>
        <w:rPr>
          <w:rFonts w:ascii="Arial" w:cs="Arial" w:eastAsia="Arial" w:hAnsi="Arial"/>
          <w:b/>
          <w:bCs/>
          <w:color w:val="2E5FAC"/>
          <w:sz w:val="26"/>
          <w:szCs w:val="26"/>
        </w:rPr>
        <w:t xml:space="preserve">5.7 Questions to Ask — SharePoint Ingestion</w:t>
      </w:r>
    </w:p>
    <w:p>
      <w:pPr>
        <w:pStyle w:val="ListParagraph"/>
        <w:numPr>
          <w:ilvl w:val="0"/>
          <w:numId w:val="2"/>
        </w:numPr>
        <w:spacing w:after="80"/>
      </w:pPr>
      <w:r>
        <w:rPr>
          <w:rFonts w:ascii="Arial" w:cs="Arial" w:eastAsia="Arial" w:hAnsi="Arial"/>
          <w:sz w:val="22"/>
          <w:szCs w:val="22"/>
        </w:rPr>
        <w:t xml:space="preserve">For our mix of CSVs, Excel, PDFs, and Word documents in SharePoint, should we use one pipeline configuration or separate pipelines per file type — what is the recommended operational pattern?</w:t>
      </w:r>
    </w:p>
    <w:p>
      <w:pPr>
        <w:pStyle w:val="ListParagraph"/>
        <w:numPr>
          <w:ilvl w:val="0"/>
          <w:numId w:val="2"/>
        </w:numPr>
        <w:spacing w:after="80"/>
      </w:pPr>
      <w:r>
        <w:rPr>
          <w:rFonts w:ascii="Arial" w:cs="Arial" w:eastAsia="Arial" w:hAnsi="Arial"/>
          <w:sz w:val="22"/>
          <w:szCs w:val="22"/>
        </w:rPr>
        <w:t xml:space="preserve">How does the SharePoint unstructured connector handle Word documents versus PDFs in terms of text extraction quality — are there document types where a third-party parser like Unstructured.io produces better results?</w:t>
      </w:r>
    </w:p>
    <w:p>
      <w:pPr>
        <w:pStyle w:val="ListParagraph"/>
        <w:numPr>
          <w:ilvl w:val="0"/>
          <w:numId w:val="2"/>
        </w:numPr>
        <w:spacing w:after="80"/>
      </w:pPr>
      <w:r>
        <w:rPr>
          <w:rFonts w:ascii="Arial" w:cs="Arial" w:eastAsia="Arial" w:hAnsi="Arial"/>
          <w:sz w:val="22"/>
          <w:szCs w:val="22"/>
        </w:rPr>
        <w:t xml:space="preserve">What is the recommended approach for triggering re-processing of the full RAG pipeline (parse → chunk → embed → index) when a source document is updated in SharePoint — how does the Delta Sync index handle chunk-level updates for modified documents?</w:t>
      </w:r>
    </w:p>
    <w:p>
      <w:pPr>
        <w:pStyle w:val="ListParagraph"/>
        <w:numPr>
          <w:ilvl w:val="0"/>
          <w:numId w:val="2"/>
        </w:numPr>
        <w:spacing w:after="80"/>
      </w:pPr>
      <w:r>
        <w:rPr>
          <w:rFonts w:ascii="Arial" w:cs="Arial" w:eastAsia="Arial" w:hAnsi="Arial"/>
          <w:sz w:val="22"/>
          <w:szCs w:val="22"/>
        </w:rPr>
        <w:t xml:space="preserve">For Excel files with multiple sheets or complex formatting, what is the connector's behavior — does it ingest all sheets, and how should we handle sheets that contain charts or non-tabular content?</w:t>
      </w:r>
    </w:p>
    <w:p>
      <w:pPr>
        <w:pStyle w:val="ListParagraph"/>
        <w:numPr>
          <w:ilvl w:val="0"/>
          <w:numId w:val="2"/>
        </w:numPr>
        <w:spacing w:after="80"/>
      </w:pPr>
      <w:r>
        <w:rPr>
          <w:rFonts w:ascii="Arial" w:cs="Arial" w:eastAsia="Arial" w:hAnsi="Arial"/>
          <w:sz w:val="22"/>
          <w:szCs w:val="22"/>
        </w:rPr>
        <w:t xml:space="preserve">What is the recommended deduplication strategy for SharePoint documents that exist in multiple site libraries or version histories?</w:t>
      </w:r>
    </w:p>
    <w:p>
      <w:pPr>
        <w:pStyle w:val="ListParagraph"/>
        <w:numPr>
          <w:ilvl w:val="0"/>
          <w:numId w:val="2"/>
        </w:numPr>
        <w:spacing w:after="80"/>
      </w:pPr>
      <w:r>
        <w:rPr>
          <w:rFonts w:ascii="Arial" w:cs="Arial" w:eastAsia="Arial" w:hAnsi="Arial"/>
          <w:sz w:val="22"/>
          <w:szCs w:val="22"/>
        </w:rPr>
        <w:t xml:space="preserve">How should we structure Unity Catalog Volumes for the SharePoint unstructured files — one Volume per SharePoint site, per document type, or per downstream use case?</w:t>
      </w:r>
    </w:p>
    <w:p>
      <w:pPr>
        <w:pStyle w:val="ListParagraph"/>
        <w:numPr>
          <w:ilvl w:val="0"/>
          <w:numId w:val="2"/>
        </w:numPr>
        <w:spacing w:after="80"/>
      </w:pPr>
      <w:r>
        <w:rPr>
          <w:rFonts w:ascii="Arial" w:cs="Arial" w:eastAsia="Arial" w:hAnsi="Arial"/>
          <w:sz w:val="22"/>
          <w:szCs w:val="22"/>
        </w:rPr>
        <w:t xml:space="preserve">If some SharePoint documents contain sensitive or restricted content, how do we implement access-control-aware retrieval in Vector Search so users only get chunks they are authorized to see?</w:t>
      </w:r>
    </w:p>
    <w:p>
      <w:pPr>
        <w:pStyle w:val="ListParagraph"/>
        <w:numPr>
          <w:ilvl w:val="0"/>
          <w:numId w:val="2"/>
        </w:numPr>
        <w:spacing w:after="80"/>
      </w:pPr>
      <w:r>
        <w:rPr>
          <w:rFonts w:ascii="Arial" w:cs="Arial" w:eastAsia="Arial" w:hAnsi="Arial"/>
          <w:sz w:val="22"/>
          <w:szCs w:val="22"/>
        </w:rPr>
        <w:t xml:space="preserve">For files exceeding the 100 MB connector limit, what is the recommended alternative ingestion path — direct ADLS landing via a custom pipeline, or another approach?</w:t>
      </w:r>
    </w:p>
    <w:p>
      <w:pPr>
        <w:spacing w:after="160"/>
      </w:pPr>
    </w:p>
    <w:p>
      <w:r>
        <w:br/>
      </w:r>
    </w:p>
    <w:p>
      <w:pPr>
        <w:pStyle w:val="Heading1"/>
        <w:pBdr>
          <w:bottom w:val="single" w:color="E8002D" w:sz="6" w:space="4"/>
        </w:pBdr>
        <w:spacing w:after="160" w:before="360"/>
      </w:pPr>
      <w:r>
        <w:rPr>
          <w:rFonts w:ascii="Arial" w:cs="Arial" w:eastAsia="Arial" w:hAnsi="Arial"/>
          <w:b/>
          <w:bCs/>
          <w:color w:val="1F3864"/>
          <w:sz w:val="32"/>
          <w:szCs w:val="32"/>
        </w:rPr>
        <w:t xml:space="preserve">6. Suggested Session Agenda</w:t>
      </w:r>
    </w:p>
    <w:p>
      <w:pPr>
        <w:spacing w:after="120" w:before="80"/>
      </w:pPr>
      <w:r>
        <w:rPr>
          <w:rFonts w:ascii="Arial" w:cs="Arial" w:eastAsia="Arial" w:hAnsi="Arial"/>
          <w:sz w:val="22"/>
          <w:szCs w:val="22"/>
        </w:rPr>
        <w:t xml:space="preserve">Use this as a proposed structure for the architect session. Share with the Databricks engineer in advance so they can prepare relevant examples and recommendations.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2574"/>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5382"/>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r>
      <w:tr>
        <w:tc>
          <w:tcPr>
            <w:tcW w:type="dxa" w:w="140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0:00–0:15</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Foundation Alignment</w:t>
            </w:r>
          </w:p>
        </w:tc>
        <w:tc>
          <w:tcPr>
            <w:tcW w:type="dxa" w:w="5382"/>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Briefly confirm the current state: Medallion architecture, Unity Catalog, Entra ID, networking. Align on what is settled so the session can focus forward.</w:t>
            </w:r>
          </w:p>
        </w:tc>
      </w:tr>
      <w:tr>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0:15–0:45</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Ingestion Scaling &amp; Standardization</w:t>
            </w:r>
          </w:p>
        </w:tc>
        <w:tc>
          <w:tcPr>
            <w:tcW w:type="dxa" w:w="538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current SQL Server ingestion pipelines. Agree on the standard pattern for onboarding new data domains. Identify any pipeline gaps or quality control improvements needed.</w:t>
            </w:r>
          </w:p>
        </w:tc>
      </w:tr>
      <w:tr>
        <w:tc>
          <w:tcPr>
            <w:tcW w:type="dxa" w:w="140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0:45–1:10</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SharePoint Ingestion — Structured &amp; Unstructured</w:t>
            </w:r>
          </w:p>
        </w:tc>
        <w:tc>
          <w:tcPr>
            <w:tcW w:type="dxa" w:w="5382"/>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Walk through the two Lakeflow Connect SharePoint connectors. Agree on connector choice, incremental sync strategy, and Volume vs. Delta table storage split. Define the RAG pipeline design for unstructured files.</w:t>
            </w:r>
          </w:p>
        </w:tc>
      </w:tr>
      <w:tr>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1:10–1:40</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Genie Spaces &amp; AI/BI Dashboards</w:t>
            </w:r>
          </w:p>
        </w:tc>
        <w:tc>
          <w:tcPr>
            <w:tcW w:type="dxa" w:w="538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Gold layer readiness for Genie. Define the first 1–2 Genie Spaces to build. Agree on metadata, benchmark queries, and access control approach.</w:t>
            </w:r>
          </w:p>
        </w:tc>
      </w:tr>
      <w:tr>
        <w:tc>
          <w:tcPr>
            <w:tcW w:type="dxa" w:w="140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1:40–2:05</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Databricks Apps — Plotly + NetworkX Use Case</w:t>
            </w:r>
          </w:p>
        </w:tc>
        <w:tc>
          <w:tcPr>
            <w:tcW w:type="dxa" w:w="5382"/>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Walk through the notebook-to-Dash promotion path. Define the widget and role-based filtering design. Agree on framework (Streamlit vs. Dash) and deployment approach.</w:t>
            </w:r>
          </w:p>
        </w:tc>
      </w:tr>
      <w:tr>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2:05–2:20</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Lakebase &amp; Transactional Use Cases</w:t>
            </w:r>
          </w:p>
        </w:tc>
        <w:tc>
          <w:tcPr>
            <w:tcW w:type="dxa" w:w="538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Identify which application use cases need write-back. Confirm Lakebase sizing and Delta sync approach.</w:t>
            </w:r>
          </w:p>
        </w:tc>
      </w:tr>
      <w:tr>
        <w:tc>
          <w:tcPr>
            <w:tcW w:type="dxa" w:w="140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2:20–2:40</w:t>
            </w:r>
          </w:p>
        </w:tc>
        <w:tc>
          <w:tcPr>
            <w:tcW w:type="dxa" w:w="2574"/>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Unity AI Gateway Setup</w:t>
            </w:r>
          </w:p>
        </w:tc>
        <w:tc>
          <w:tcPr>
            <w:tcW w:type="dxa" w:w="5382"/>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the audit logging configuration, guardrail requirements, and monitoring dashboard design. Confirm scope of Genie and RAG prompt logging.</w:t>
            </w:r>
          </w:p>
        </w:tc>
      </w:tr>
      <w:tr>
        <w:tc>
          <w:tcPr>
            <w:tcW w:type="dxa" w:w="140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20"/>
                <w:szCs w:val="20"/>
              </w:rPr>
              <w:t xml:space="preserve">2:40–2:50</w:t>
            </w:r>
          </w:p>
        </w:tc>
        <w:tc>
          <w:tcPr>
            <w:tcW w:type="dxa" w:w="257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Roadmap &amp; Next Steps</w:t>
            </w:r>
          </w:p>
        </w:tc>
        <w:tc>
          <w:tcPr>
            <w:tcW w:type="dxa" w:w="538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Agree on prioritized next steps with owners and target timelines. Identify any Databricks professional services or accelerators that apply.</w:t>
            </w:r>
          </w:p>
        </w:tc>
      </w:tr>
    </w:tbl>
    <w:p>
      <w:pPr>
        <w:spacing w:after="160"/>
      </w:pPr>
    </w:p>
    <w:p>
      <w:pPr>
        <w:pStyle w:val="Heading1"/>
        <w:pBdr>
          <w:bottom w:val="single" w:color="E8002D" w:sz="6" w:space="4"/>
        </w:pBdr>
        <w:spacing w:after="160" w:before="360"/>
      </w:pPr>
      <w:r>
        <w:rPr>
          <w:rFonts w:ascii="Arial" w:cs="Arial" w:eastAsia="Arial" w:hAnsi="Arial"/>
          <w:b/>
          <w:bCs/>
          <w:color w:val="1F3864"/>
          <w:sz w:val="32"/>
          <w:szCs w:val="32"/>
        </w:rPr>
        <w:t xml:space="preserve">7. Key Principles for the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w:t>
            </w:r>
          </w:p>
        </w:tc>
        <w:tc>
          <w:tcPr>
            <w:tcW w:type="dxa" w:w="62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 in Practice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Build on what exists — don't re-architect</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Medallion framework, Unity Catalog, and Entra ID are established. Every recommendation from the session should extend these rather than propose parallel or competing approaches.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Standardize ingestion before expanding domains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Agree on a standard pipeline pattern (ingestion tool, DLT structure, quality expectations) before onboarding additional SQL Server domains. Consistency now prevents technical debt later.</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Gold layer quality determines Genie quality</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accuracy and usefulness of Genie Spaces is a direct function of Gold table design, column naming, and Unity Catalog metadata. Invest in Gold layer documentation as a first step to Genie deployment.</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Keep everything inside the platform</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Genie, Databricks Apps, Lakebase, Unity AI Gateway — the full application and AI stack belongs inside Databricks. Avoid introducing external databases, hosting, or governance tools that create seams.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Treat unstructured data as a first-class data product</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 PDFs and Word documents are as valuable as structured SQL data. Store them in Unity Catalog Volumes with the same governance rigour applied to Delta tables. The RAG pipeline is a data pipeline — design it with the same quality and lineage standards.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Govern AI before exposing it to users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Unity AI Gateway configuration and inference table logging should be completed before any LLM-backed feature reaches business users — not added retroactively.</w:t>
            </w:r>
          </w:p>
        </w:tc>
      </w:tr>
    </w:tbl>
    <w:p>
      <w:pPr>
        <w:spacing w:after="200"/>
      </w:pPr>
    </w:p>
    <w:p>
      <w:pPr>
        <w:pBdr>
          <w:top w:val="single" w:color="E8002D" w:sz="4" w:space="8"/>
          <w:bottom w:val="single" w:color="E8002D" w:sz="4" w:space="8"/>
        </w:pBdr>
        <w:spacing w:after="160" w:before="160"/>
        <w:jc w:val="center"/>
      </w:pPr>
      <w:r>
        <w:rPr>
          <w:rFonts w:ascii="Arial" w:cs="Arial" w:eastAsia="Arial" w:hAnsi="Arial"/>
          <w:i/>
          <w:iCs/>
          <w:color w:val="595959"/>
          <w:sz w:val="18"/>
          <w:szCs w:val="18"/>
        </w:rPr>
        <w:t xml:space="preserve">Prepared for internal use — Databricks Architect Session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spacing w:before="80"/>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002D" w:sz="4" w:space="4"/>
      </w:pBdr>
      <w:spacing w:after="80"/>
    </w:pPr>
    <w:r>
      <w:rPr>
        <w:rFonts w:ascii="Arial" w:cs="Arial" w:eastAsia="Arial" w:hAnsi="Arial"/>
        <w:b/>
        <w:bCs/>
        <w:color w:val="1F3864"/>
        <w:sz w:val="18"/>
        <w:szCs w:val="18"/>
      </w:rPr>
      <w:t xml:space="preserve">Databricks Architect Session — Operationalization Focus</w:t>
    </w:r>
    <w:r>
      <w:rPr>
        <w:rFonts w:ascii="Arial" w:cs="Arial" w:eastAsia="Arial" w:hAnsi="Arial"/>
        <w:color w:val="595959"/>
        <w:sz w:val="18"/>
        <w:szCs w:val="18"/>
      </w:rPr>
      <w:t xml:space="preserve">  |  On-Prem Ingestion &amp; End-User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2026-05-07T23:35:19.601Z</dcterms:created>
  <dcterms:modified xsi:type="dcterms:W3CDTF">2026-05-07T23:35:19.615Z</dcterms:modified>
</cp:coreProperties>
</file>

<file path=docProps/custom.xml><?xml version="1.0" encoding="utf-8"?>
<Properties xmlns="http://schemas.openxmlformats.org/officeDocument/2006/custom-properties" xmlns:vt="http://schemas.openxmlformats.org/officeDocument/2006/docPropsVTypes"/>
</file>