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200"/>
              <w:bottom w:type="dxa" w:w="200"/>
              <w:right w:type="dxa" w:w="200"/>
            </w:tcMar>
          </w:tcPr>
          <w:p>
            <w:pPr>
              <w:spacing w:after="80" w:before="0"/>
              <w:jc w:val="center"/>
            </w:pPr>
            <w:r>
              <w:rPr>
                <w:rFonts w:ascii="Arial" w:cs="Arial" w:eastAsia="Arial" w:hAnsi="Arial"/>
                <w:b/>
                <w:bCs/>
                <w:color w:val="FFFFFF"/>
                <w:sz w:val="40"/>
                <w:szCs w:val="40"/>
              </w:rPr>
              <w:t xml:space="preserve">Before You Build</w:t>
            </w:r>
          </w:p>
          <w:p>
            <w:pPr>
              <w:spacing w:after="0" w:before="0"/>
              <w:jc w:val="center"/>
            </w:pPr>
            <w:r>
              <w:rPr>
                <w:rFonts w:ascii="Arial" w:cs="Arial" w:eastAsia="Arial" w:hAnsi="Arial"/>
                <w:i/>
                <w:iCs/>
                <w:color w:val="BDD7EE"/>
                <w:sz w:val="28"/>
                <w:szCs w:val="28"/>
              </w:rPr>
              <w:t xml:space="preserve">Understanding Your Users’ Needs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spacing w:after="0" w:before="0"/>
            </w:pPr>
            <w:r>
              <w:rPr>
                <w:rFonts w:ascii="Arial" w:cs="Arial" w:eastAsia="Arial" w:hAnsi="Arial"/>
                <w:i/>
                <w:iCs/>
                <w:sz w:val="24"/>
                <w:szCs w:val="24"/>
              </w:rPr>
              <w:t xml:space="preserve">This document is for anyone scoping a new Genie space with business stakeholders. Read it before selecting tables or building views. The discovery work here shapes every technical decision that follows.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1   Why Discovery Work Comes First</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Don’t let Genie be your first conversation with the business</w:t>
            </w:r>
          </w:p>
        </w:tc>
      </w:tr>
    </w:tbl>
    <w:p>
      <w:pPr>
        <w:spacing w:after="0" w:before="120"/>
      </w:pPr>
    </w:p>
    <w:p>
      <w:pPr>
        <w:spacing w:after="80" w:before="80"/>
      </w:pPr>
      <w:r>
        <w:rPr>
          <w:rFonts w:ascii="Arial" w:cs="Arial" w:eastAsia="Arial" w:hAnsi="Arial"/>
          <w:sz w:val="24"/>
          <w:szCs w:val="24"/>
        </w:rPr>
        <w:t xml:space="preserve">The most common cause of a failed Genie space is not a technical problem — it is starting to build before anyone has clearly defined what the space needs to do. A space built without a grounded understanding of its users’ questions will accumulate patches: text instructions bolted on to compensate for missing logic, tables added to answer questions nobody anticipated, and a growing gap between what users ask and what the space reliably answers.</w:t>
      </w:r>
    </w:p>
    <w:p>
      <w:pPr>
        <w:spacing w:after="0" w:before="80"/>
      </w:pPr>
    </w:p>
    <w:p>
      <w:pPr>
        <w:spacing w:after="80" w:before="80"/>
      </w:pPr>
      <w:r>
        <w:rPr>
          <w:rFonts w:ascii="Arial" w:cs="Arial" w:eastAsia="Arial" w:hAnsi="Arial"/>
          <w:sz w:val="24"/>
          <w:szCs w:val="24"/>
        </w:rPr>
        <w:t xml:space="preserve">Discovery work closes that gap before it opens. Done well, it takes a few hours. Done poorly — or skipped — it costs days of rework.</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2   Start With How They Work Today</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Ask about process, not about Genie</w:t>
            </w:r>
          </w:p>
        </w:tc>
      </w:tr>
    </w:tbl>
    <w:p>
      <w:pPr>
        <w:spacing w:after="0" w:before="120"/>
      </w:pPr>
    </w:p>
    <w:p>
      <w:pPr>
        <w:spacing w:after="80" w:before="80"/>
      </w:pPr>
      <w:r>
        <w:rPr>
          <w:rFonts w:ascii="Arial" w:cs="Arial" w:eastAsia="Arial" w:hAnsi="Arial"/>
          <w:sz w:val="24"/>
          <w:szCs w:val="24"/>
        </w:rPr>
        <w:t xml:space="preserve">Do not introduce Genie at the start of the conversation. Business users will anchor on what they think the tool can or cannot do, and their answers will be shaped by that assumption rather than by their real needs.</w:t>
      </w:r>
    </w:p>
    <w:p>
      <w:pPr>
        <w:spacing w:after="0" w:before="80"/>
      </w:pPr>
    </w:p>
    <w:p>
      <w:pPr>
        <w:spacing w:after="80" w:before="80"/>
      </w:pPr>
      <w:r>
        <w:rPr>
          <w:rFonts w:ascii="Arial" w:cs="Arial" w:eastAsia="Arial" w:hAnsi="Arial"/>
          <w:sz w:val="24"/>
          <w:szCs w:val="24"/>
        </w:rPr>
        <w:t xml:space="preserve">Instead, ask about how they currently get answers:</w:t>
      </w:r>
    </w:p>
    <w:p>
      <w:pPr>
        <w:spacing w:after="0" w:before="60"/>
      </w:pPr>
    </w:p>
    <w:p>
      <w:pPr>
        <w:pStyle w:val="ListParagraph"/>
        <w:numPr>
          <w:ilvl w:val="0"/>
          <w:numId w:val="2"/>
        </w:numPr>
        <w:spacing w:after="60" w:before="60"/>
      </w:pPr>
      <w:r>
        <w:rPr>
          <w:rFonts w:ascii="Arial" w:cs="Arial" w:eastAsia="Arial" w:hAnsi="Arial"/>
          <w:sz w:val="24"/>
          <w:szCs w:val="24"/>
        </w:rPr>
        <w:t xml:space="preserve">When you need a number or a report today, what do you do — do you ask someone, pull a report, run something yourself?</w:t>
      </w:r>
    </w:p>
    <w:p>
      <w:pPr>
        <w:pStyle w:val="ListParagraph"/>
        <w:numPr>
          <w:ilvl w:val="0"/>
          <w:numId w:val="2"/>
        </w:numPr>
        <w:spacing w:after="60" w:before="60"/>
      </w:pPr>
      <w:r>
        <w:rPr>
          <w:rFonts w:ascii="Arial" w:cs="Arial" w:eastAsia="Arial" w:hAnsi="Arial"/>
          <w:sz w:val="24"/>
          <w:szCs w:val="24"/>
        </w:rPr>
        <w:t xml:space="preserve">What questions do you find yourself asking repeatedly?</w:t>
      </w:r>
    </w:p>
    <w:p>
      <w:pPr>
        <w:pStyle w:val="ListParagraph"/>
        <w:numPr>
          <w:ilvl w:val="0"/>
          <w:numId w:val="2"/>
        </w:numPr>
        <w:spacing w:after="60" w:before="60"/>
      </w:pPr>
      <w:r>
        <w:rPr>
          <w:rFonts w:ascii="Arial" w:cs="Arial" w:eastAsia="Arial" w:hAnsi="Arial"/>
          <w:sz w:val="24"/>
          <w:szCs w:val="24"/>
        </w:rPr>
        <w:t xml:space="preserve">What questions do you wish you could answer but currently can’t, or that take too long to get?</w:t>
      </w:r>
    </w:p>
    <w:p>
      <w:pPr>
        <w:pStyle w:val="ListParagraph"/>
        <w:numPr>
          <w:ilvl w:val="0"/>
          <w:numId w:val="2"/>
        </w:numPr>
        <w:spacing w:after="60" w:before="60"/>
      </w:pPr>
      <w:r>
        <w:rPr>
          <w:rFonts w:ascii="Arial" w:cs="Arial" w:eastAsia="Arial" w:hAnsi="Arial"/>
          <w:sz w:val="24"/>
          <w:szCs w:val="24"/>
        </w:rPr>
        <w:t xml:space="preserve">When you get a number, what do you typically do with it — do you just need the figure, or do you need to understand why it is what it is?</w:t>
      </w:r>
    </w:p>
    <w:p>
      <w:pPr>
        <w:spacing w:after="0" w:before="80"/>
      </w:pPr>
    </w:p>
    <w:p>
      <w:pPr>
        <w:spacing w:after="80" w:before="80"/>
      </w:pPr>
      <w:r>
        <w:rPr>
          <w:rFonts w:ascii="Arial" w:cs="Arial" w:eastAsia="Arial" w:hAnsi="Arial"/>
          <w:sz w:val="24"/>
          <w:szCs w:val="24"/>
        </w:rPr>
        <w:t xml:space="preserve">That last question is the most important one. The answer tells you what kind of experience the user actually needs, without requiring them to understand anything about how Genie works.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spacing w:after="0" w:before="0"/>
            </w:pPr>
            <w:r>
              <w:rPr>
                <w:rFonts w:ascii="Arial" w:cs="Arial" w:eastAsia="Arial" w:hAnsi="Arial"/>
                <w:b/>
                <w:bCs/>
                <w:sz w:val="24"/>
                <w:szCs w:val="24"/>
              </w:rPr>
              <w:t xml:space="preserve">⚠  </w:t>
            </w:r>
            <w:r>
              <w:rPr>
                <w:rFonts w:ascii="Arial" w:cs="Arial" w:eastAsia="Arial" w:hAnsi="Arial"/>
                <w:sz w:val="24"/>
                <w:szCs w:val="24"/>
              </w:rPr>
              <w:t xml:space="preserve">Business users often describe what they currently get, not what they actually need. Someone who says ‘I need the monthly report from finance’ may actually want the ability to slice that report by a dimension finance never breaks it down by. Probe for the frustration behind the current process — that is usually where the real requirement is hiding.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3   Listen for Two Distinct Patterns</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Sort their questions into buckets as they talk</w:t>
            </w:r>
          </w:p>
        </w:tc>
      </w:tr>
    </w:tbl>
    <w:p>
      <w:pPr>
        <w:spacing w:after="0" w:before="120"/>
      </w:pPr>
    </w:p>
    <w:p>
      <w:pPr>
        <w:spacing w:after="80" w:before="80"/>
      </w:pPr>
      <w:r>
        <w:rPr>
          <w:rFonts w:ascii="Arial" w:cs="Arial" w:eastAsia="Arial" w:hAnsi="Arial"/>
          <w:sz w:val="24"/>
          <w:szCs w:val="24"/>
        </w:rPr>
        <w:t xml:space="preserve">As the business user describes their needs, you are mentally sorting their questions into two categories. You do not need to explain this distinction to them — it is your design input, not their concern.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Lookup and monitoring questions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Investigative questions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They know what they want — they just need fast access to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They are trying to understand something, not just retrieve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Examples: “How many active loans are in region X?”, “What is this month’s pipeline?”, “Show me customers who haven’t renewed.”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Examples: “Why did our numbers drop last quarter?”, “What is driving the increase in cancellations?”, “Which customers are at risk and why?”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A well-built plain or metric view will serve these well. Results come back as a table or chart.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These benefit most from a metric view with clearly defined measures. Results come back as a structured report with findings and visualisations.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Fast. One question, one answer.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Slower. Multi-step reasoning, multiple queries, narrative output.</w:t>
            </w:r>
          </w:p>
        </w:tc>
      </w:tr>
    </w:tbl>
    <w:p>
      <w:pPr>
        <w:spacing w:after="0" w:before="100"/>
      </w:pPr>
    </w:p>
    <w:p>
      <w:pPr>
        <w:spacing w:after="80" w:before="80"/>
      </w:pPr>
      <w:r>
        <w:rPr>
          <w:rFonts w:ascii="Arial" w:cs="Arial" w:eastAsia="Arial" w:hAnsi="Arial"/>
          <w:sz w:val="24"/>
          <w:szCs w:val="24"/>
        </w:rPr>
        <w:t xml:space="preserve">Most business users have both types of need, but one usually dominates. Knowing which one shapes every technical decision that follows — what views to build, whether a metric view is worth the investment, and how to set expectations about what Genie will produce.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0" w:before="0"/>
            </w:pPr>
            <w:r>
              <w:rPr>
                <w:rFonts w:ascii="Arial" w:cs="Arial" w:eastAsia="Arial" w:hAnsi="Arial"/>
                <w:b/>
                <w:bCs/>
                <w:sz w:val="24"/>
                <w:szCs w:val="24"/>
              </w:rPr>
              <w:t xml:space="preserve">✓  Best Practice    </w:t>
            </w:r>
            <w:r>
              <w:rPr>
                <w:rFonts w:ascii="Arial" w:cs="Arial" w:eastAsia="Arial" w:hAnsi="Arial"/>
                <w:sz w:val="24"/>
                <w:szCs w:val="24"/>
              </w:rPr>
              <w:t xml:space="preserve">If the user’s questions are predominantly investigative — ‘why did X happen’, ‘what is driving Y’ — a metric view with pre-defined measures is not just helpful, it is essential. Investigative mode assembles multiple findings into a report. If the underlying metrics are ambiguously defined, the report will be internally inconsistent.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4   Set Expectations Through Examples, Not Explanation</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Show them outputs, not architecture</w:t>
            </w:r>
          </w:p>
        </w:tc>
      </w:tr>
    </w:tbl>
    <w:p>
      <w:pPr>
        <w:spacing w:after="0" w:before="120"/>
      </w:pPr>
    </w:p>
    <w:p>
      <w:pPr>
        <w:spacing w:after="80" w:before="80"/>
      </w:pPr>
      <w:r>
        <w:rPr>
          <w:rFonts w:ascii="Arial" w:cs="Arial" w:eastAsia="Arial" w:hAnsi="Arial"/>
          <w:sz w:val="24"/>
          <w:szCs w:val="24"/>
        </w:rPr>
        <w:t xml:space="preserve">Do not explain how Genie works. Instead, describe the outputs they can expect — and then ask which one matches what they are picturing.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What to say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What it maps 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“You type a question and get back a table or a chart — like a pivot table that answers itself.”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Standard chat mode. Fast, direct, one question one 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“You ask a bigger question and get back something more like a short briefing document — findings, charts, and an explanation of what the data shows.”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Agent mode. Multi-step reasoning, narrative output, slower.</w:t>
            </w:r>
          </w:p>
        </w:tc>
      </w:tr>
    </w:tbl>
    <w:p>
      <w:pPr>
        <w:spacing w:after="0" w:before="100"/>
      </w:pPr>
    </w:p>
    <w:p>
      <w:pPr>
        <w:spacing w:after="80" w:before="80"/>
      </w:pPr>
      <w:r>
        <w:rPr>
          <w:rFonts w:ascii="Arial" w:cs="Arial" w:eastAsia="Arial" w:hAnsi="Arial"/>
          <w:sz w:val="24"/>
          <w:szCs w:val="24"/>
        </w:rPr>
        <w:t xml:space="preserve">Then ask: “Which of those sounds more like what you’re picturing?”</w:t>
      </w:r>
    </w:p>
    <w:p>
      <w:pPr>
        <w:spacing w:after="0" w:before="80"/>
      </w:pPr>
    </w:p>
    <w:p>
      <w:pPr>
        <w:spacing w:after="80" w:before="80"/>
      </w:pPr>
      <w:r>
        <w:rPr>
          <w:rFonts w:ascii="Arial" w:cs="Arial" w:eastAsia="Arial" w:hAnsi="Arial"/>
          <w:sz w:val="24"/>
          <w:szCs w:val="24"/>
        </w:rPr>
        <w:t xml:space="preserve">Their answer will tell you whether their needs are primarily lookup-based or investigative — and it will do so in their language, without requiring them to understand the technical distinction.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5   Pin Down the Benchmark Questions</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Get specific questions before you build anything</w:t>
            </w:r>
          </w:p>
        </w:tc>
      </w:tr>
    </w:tbl>
    <w:p>
      <w:pPr>
        <w:spacing w:after="0" w:before="120"/>
      </w:pPr>
    </w:p>
    <w:p>
      <w:pPr>
        <w:spacing w:after="80" w:before="80"/>
      </w:pPr>
      <w:r>
        <w:rPr>
          <w:rFonts w:ascii="Arial" w:cs="Arial" w:eastAsia="Arial" w:hAnsi="Arial"/>
          <w:sz w:val="24"/>
          <w:szCs w:val="24"/>
        </w:rPr>
        <w:t xml:space="preserve">Before any technical work begins, get the business user to commit to 5–10 specific questions the space must be able to answer correctly. These become your acceptance criteria. They also become the test set you run your views against before adding them to Genie.</w:t>
      </w:r>
    </w:p>
    <w:p>
      <w:pPr>
        <w:spacing w:after="0" w:before="80"/>
      </w:pPr>
    </w:p>
    <w:p>
      <w:pPr>
        <w:spacing w:after="80" w:before="80"/>
      </w:pPr>
      <w:r>
        <w:rPr>
          <w:rFonts w:ascii="Arial" w:cs="Arial" w:eastAsia="Arial" w:hAnsi="Arial"/>
          <w:sz w:val="24"/>
          <w:szCs w:val="24"/>
        </w:rPr>
        <w:t xml:space="preserve">Push for specificity. Vague requirements produce vague views: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Too vague — push back on this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4"/>
                <w:szCs w:val="24"/>
              </w:rPr>
              <w:t xml:space="preserve">Specific enough — this is what you need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“I want to see loan performance.”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“Total committed balance by relationship manager for the current fiscal year, compared to the same period last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“Show me customer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“Number of customers who moved from active to inactive status in the last 90 days, broken down by region.”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“Something on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4"/>
                <w:szCs w:val="24"/>
              </w:rPr>
              <w:t xml:space="preserve">“Open opportunities by stage and owner, filtered to deals expected to close this quarter.”</w:t>
            </w:r>
          </w:p>
        </w:tc>
      </w:tr>
    </w:tbl>
    <w:p>
      <w:pPr>
        <w:spacing w:after="0" w:before="100"/>
      </w:pPr>
    </w:p>
    <w:p>
      <w:pPr>
        <w:spacing w:after="80" w:before="80"/>
      </w:pPr>
      <w:r>
        <w:rPr>
          <w:rFonts w:ascii="Arial" w:cs="Arial" w:eastAsia="Arial" w:hAnsi="Arial"/>
          <w:sz w:val="24"/>
          <w:szCs w:val="24"/>
        </w:rPr>
        <w:t xml:space="preserve">Write the benchmark questions down and share them back with the business user before you build. Their sign-off on this list is the boundary between discovery and design. If the question set changes after you have built, it is a scope change — treat it as 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0" w:before="0"/>
            </w:pPr>
            <w:r>
              <w:rPr>
                <w:rFonts w:ascii="Arial" w:cs="Arial" w:eastAsia="Arial" w:hAnsi="Arial"/>
                <w:b/>
                <w:bCs/>
                <w:sz w:val="24"/>
                <w:szCs w:val="24"/>
              </w:rPr>
              <w:t xml:space="preserve">✓  Best Practice    </w:t>
            </w:r>
            <w:r>
              <w:rPr>
                <w:rFonts w:ascii="Arial" w:cs="Arial" w:eastAsia="Arial" w:hAnsi="Arial"/>
                <w:sz w:val="24"/>
                <w:szCs w:val="24"/>
              </w:rPr>
              <w:t xml:space="preserve">The benchmark questions serve two purposes: they tell you what views to build and what logic to encode, and they give you testable SQL to validate those views against before Genie ever sees them. A space that passes its benchmark questions reliably is a space that is ready to share.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6   What to Carry Into the Build</w:t>
            </w:r>
            <w:r>
              <w:rPr>
                <w:rFonts w:ascii="Arial" w:cs="Arial" w:eastAsia="Arial" w:hAnsi="Arial"/>
                <w:color w:val="FFFFFF"/>
                <w:sz w:val="28"/>
                <w:szCs w:val="28"/>
              </w:rPr>
              <w:t xml:space="preserve">    </w:t>
            </w:r>
            <w:r>
              <w:rPr>
                <w:rFonts w:ascii="Arial" w:cs="Arial" w:eastAsia="Arial" w:hAnsi="Arial"/>
                <w:i/>
                <w:iCs/>
                <w:color w:val="FFFFFF"/>
                <w:sz w:val="24"/>
                <w:szCs w:val="24"/>
              </w:rPr>
              <w:t xml:space="preserve">The outputs of discovery that drive technical decisions</w:t>
            </w:r>
          </w:p>
        </w:tc>
      </w:tr>
    </w:tbl>
    <w:p>
      <w:pPr>
        <w:spacing w:after="0" w:before="120"/>
      </w:pPr>
    </w:p>
    <w:p>
      <w:pPr>
        <w:spacing w:after="80" w:before="80"/>
      </w:pPr>
      <w:r>
        <w:rPr>
          <w:rFonts w:ascii="Arial" w:cs="Arial" w:eastAsia="Arial" w:hAnsi="Arial"/>
          <w:sz w:val="24"/>
          <w:szCs w:val="24"/>
        </w:rPr>
        <w:t xml:space="preserve">When discovery is complete you should be able to answer all of the following. If any are still unclear, go back to the business user before building.</w:t>
      </w:r>
    </w:p>
    <w:p>
      <w:pPr>
        <w:spacing w:after="0" w:before="80"/>
      </w:pPr>
    </w:p>
    <w:p>
      <w:pPr>
        <w:pStyle w:val="ListParagraph"/>
        <w:numPr>
          <w:ilvl w:val="0"/>
          <w:numId w:val="2"/>
        </w:numPr>
        <w:spacing w:after="60" w:before="60"/>
      </w:pPr>
      <w:r>
        <w:rPr>
          <w:rFonts w:ascii="Arial" w:cs="Arial" w:eastAsia="Arial" w:hAnsi="Arial"/>
          <w:b/>
          <w:bCs/>
          <w:sz w:val="24"/>
          <w:szCs w:val="24"/>
        </w:rPr>
        <w:t xml:space="preserve">Who is the primary user and what is their level of data literacy?    </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What domain does the space cover? (One domain only — if two audiences or topics have emerged, plan for two spaces.)</w:t>
      </w:r>
    </w:p>
    <w:p>
      <w:pPr>
        <w:pStyle w:val="ListParagraph"/>
        <w:numPr>
          <w:ilvl w:val="0"/>
          <w:numId w:val="2"/>
        </w:numPr>
        <w:spacing w:after="60" w:before="60"/>
      </w:pPr>
      <w:r>
        <w:rPr>
          <w:rFonts w:ascii="Arial" w:cs="Arial" w:eastAsia="Arial" w:hAnsi="Arial"/>
          <w:sz w:val="24"/>
          <w:szCs w:val="24"/>
        </w:rPr>
        <w:t xml:space="preserve">Are the user’s questions primarily lookup-based, investigative, or a mix of both?</w:t>
      </w:r>
    </w:p>
    <w:p>
      <w:pPr>
        <w:pStyle w:val="ListParagraph"/>
        <w:numPr>
          <w:ilvl w:val="0"/>
          <w:numId w:val="2"/>
        </w:numPr>
        <w:spacing w:after="60" w:before="60"/>
      </w:pPr>
      <w:r>
        <w:rPr>
          <w:rFonts w:ascii="Arial" w:cs="Arial" w:eastAsia="Arial" w:hAnsi="Arial"/>
          <w:sz w:val="24"/>
          <w:szCs w:val="24"/>
        </w:rPr>
        <w:t xml:space="preserve">Is a metric view warranted? (Yes if questions are investigative or analytical; yes if measures need a precise business definition.)</w:t>
      </w:r>
    </w:p>
    <w:p>
      <w:pPr>
        <w:pStyle w:val="ListParagraph"/>
        <w:numPr>
          <w:ilvl w:val="0"/>
          <w:numId w:val="2"/>
        </w:numPr>
        <w:spacing w:after="60" w:before="60"/>
      </w:pPr>
      <w:r>
        <w:rPr>
          <w:rFonts w:ascii="Arial" w:cs="Arial" w:eastAsia="Arial" w:hAnsi="Arial"/>
          <w:sz w:val="24"/>
          <w:szCs w:val="24"/>
        </w:rPr>
        <w:t xml:space="preserve">What are the 5–10 benchmark questions the space must answer correctly?</w:t>
      </w:r>
    </w:p>
    <w:p>
      <w:pPr>
        <w:pStyle w:val="ListParagraph"/>
        <w:numPr>
          <w:ilvl w:val="0"/>
          <w:numId w:val="2"/>
        </w:numPr>
        <w:spacing w:after="60" w:before="60"/>
      </w:pPr>
      <w:r>
        <w:rPr>
          <w:rFonts w:ascii="Arial" w:cs="Arial" w:eastAsia="Arial" w:hAnsi="Arial"/>
          <w:sz w:val="24"/>
          <w:szCs w:val="24"/>
        </w:rPr>
        <w:t xml:space="preserve">What vocabulary does the user use? (Column names and view names should match this vocabulary, not the source system’s.)</w:t>
      </w:r>
    </w:p>
    <w:p>
      <w:pPr>
        <w:pStyle w:val="ListParagraph"/>
        <w:numPr>
          <w:ilvl w:val="0"/>
          <w:numId w:val="2"/>
        </w:numPr>
        <w:spacing w:after="60" w:before="60"/>
      </w:pPr>
      <w:r>
        <w:rPr>
          <w:rFonts w:ascii="Arial" w:cs="Arial" w:eastAsia="Arial" w:hAnsi="Arial"/>
          <w:sz w:val="24"/>
          <w:szCs w:val="24"/>
        </w:rPr>
        <w:t xml:space="preserve">Are there any standing filters or date boundaries that should always apply?</w:t>
      </w:r>
    </w:p>
    <w:p>
      <w:pPr>
        <w:pStyle w:val="ListParagraph"/>
        <w:numPr>
          <w:ilvl w:val="0"/>
          <w:numId w:val="2"/>
        </w:numPr>
        <w:spacing w:after="60" w:before="60"/>
      </w:pPr>
      <w:r>
        <w:rPr>
          <w:rFonts w:ascii="Arial" w:cs="Arial" w:eastAsia="Arial" w:hAnsi="Arial"/>
          <w:sz w:val="24"/>
          <w:szCs w:val="24"/>
        </w:rPr>
        <w:t xml:space="preserve">Are there any business rules — fiscal year definitions, status classifications, source priorities — that must be encoded consistently?</w:t>
      </w:r>
    </w:p>
    <w:p>
      <w:pPr>
        <w:spacing w:after="0" w:before="100"/>
      </w:pPr>
    </w:p>
    <w:p>
      <w:pPr>
        <w:spacing w:after="80" w:before="80"/>
      </w:pPr>
      <w:r>
        <w:rPr>
          <w:rFonts w:ascii="Arial" w:cs="Arial" w:eastAsia="Arial" w:hAnsi="Arial"/>
          <w:sz w:val="24"/>
          <w:szCs w:val="24"/>
        </w:rPr>
        <w:t xml:space="preserve">Carry these answers into the data engineering and space configuration stages. They are the brief that every subsequent technical decision should be tested against.</w:t>
      </w:r>
    </w:p>
    <w:p>
      <w:pPr>
        <w:spacing w:after="0" w:before="80"/>
      </w:pPr>
    </w:p>
    <w:p>
      <w:pPr>
        <w:spacing w:after="80" w:before="80"/>
      </w:pPr>
      <w:r>
        <w:rPr>
          <w:rFonts w:ascii="Arial" w:cs="Arial" w:eastAsia="Arial" w:hAnsi="Arial"/>
          <w:b/>
          <w:bCs/>
          <w:sz w:val="24"/>
          <w:szCs w:val="24"/>
        </w:rPr>
        <w:t xml:space="preserve">Next: </w:t>
      </w:r>
      <w:r>
        <w:rPr>
          <w:rFonts w:ascii="Arial" w:cs="Arial" w:eastAsia="Arial" w:hAnsi="Arial"/>
          <w:sz w:val="24"/>
          <w:szCs w:val="24"/>
        </w:rPr>
        <w:t xml:space="preserve">Return to the </w:t>
      </w:r>
      <w:r>
        <w:rPr>
          <w:rFonts w:ascii="Arial" w:cs="Arial" w:eastAsia="Arial" w:hAnsi="Arial"/>
          <w:i/>
          <w:iCs/>
          <w:sz w:val="24"/>
          <w:szCs w:val="24"/>
        </w:rPr>
        <w:t xml:space="preserve">Databricks Genie Space Best Practice Guide</w:t>
      </w:r>
      <w:r>
        <w:rPr>
          <w:rFonts w:ascii="Arial" w:cs="Arial" w:eastAsia="Arial" w:hAnsi="Arial"/>
          <w:sz w:val="24"/>
          <w:szCs w:val="24"/>
        </w:rPr>
        <w:t xml:space="preserve"> and work through the build stages in sequence.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2026-05-29T11:36:41.861Z</dcterms:created>
  <dcterms:modified xsi:type="dcterms:W3CDTF">2026-05-29T11:36:41.861Z</dcterms:modified>
</cp:coreProperties>
</file>

<file path=docProps/custom.xml><?xml version="1.0" encoding="utf-8"?>
<Properties xmlns="http://schemas.openxmlformats.org/officeDocument/2006/custom-properties" xmlns:vt="http://schemas.openxmlformats.org/officeDocument/2006/docPropsVTypes"/>
</file>