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00"/>
              <w:bottom w:type="dxa" w:w="200"/>
              <w:right w:type="dxa" w:w="200"/>
            </w:tcMar>
          </w:tcPr>
          <w:p>
            <w:pPr>
              <w:spacing w:after="80" w:before="0"/>
              <w:jc w:val="center"/>
            </w:pPr>
            <w:r>
              <w:rPr>
                <w:rFonts w:ascii="Arial" w:cs="Arial" w:eastAsia="Arial" w:hAnsi="Arial"/>
                <w:b/>
                <w:bCs/>
                <w:color w:val="FFFFFF"/>
                <w:sz w:val="40"/>
                <w:szCs w:val="40"/>
              </w:rPr>
              <w:t xml:space="preserve">Before You Build</w:t>
            </w:r>
          </w:p>
          <w:p>
            <w:pPr>
              <w:spacing w:after="0" w:before="0"/>
              <w:jc w:val="center"/>
            </w:pPr>
            <w:r>
              <w:rPr>
                <w:rFonts w:ascii="Arial" w:cs="Arial" w:eastAsia="Arial" w:hAnsi="Arial"/>
                <w:i/>
                <w:iCs/>
                <w:color w:val="BDD7EE"/>
                <w:sz w:val="28"/>
                <w:szCs w:val="28"/>
              </w:rPr>
              <w:t xml:space="preserve">Understanding Your Users’ Needs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spacing w:after="0" w:before="0"/>
            </w:pPr>
            <w:r>
              <w:rPr>
                <w:rFonts w:ascii="Arial" w:cs="Arial" w:eastAsia="Arial" w:hAnsi="Arial"/>
                <w:i/>
                <w:iCs/>
                <w:sz w:val="24"/>
                <w:szCs w:val="24"/>
              </w:rPr>
              <w:t xml:space="preserve">This document is for anyone scoping a new Genie space with business stakeholders. Read it before selecting tables or building views. The discovery work here shapes every technical decision that follows — including which type of views to build and how deeply to annotate them.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1   Why Discovery Work Comes First</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Don’t let Genie be your first conversation with the business</w:t>
            </w:r>
          </w:p>
        </w:tc>
      </w:tr>
    </w:tbl>
    <w:p>
      <w:pPr>
        <w:spacing w:after="0" w:before="120"/>
      </w:pPr>
    </w:p>
    <w:p>
      <w:pPr>
        <w:spacing w:after="80" w:before="80"/>
      </w:pPr>
      <w:r>
        <w:rPr>
          <w:rFonts w:ascii="Arial" w:cs="Arial" w:eastAsia="Arial" w:hAnsi="Arial"/>
          <w:sz w:val="24"/>
          <w:szCs w:val="24"/>
        </w:rPr>
        <w:t xml:space="preserve">The most common cause of a failed Genie space is not a technical problem — it is starting to build before anyone has clearly defined what the space needs to do. A space built without a grounded understanding of its users’ questions will accumulate patches: text instructions bolted on to compensate for missing logic, tables added to answer questions nobody anticipated, and a growing gap between what users ask and what the space reliably answers.</w:t>
      </w:r>
    </w:p>
    <w:p>
      <w:pPr>
        <w:spacing w:after="0" w:before="80"/>
      </w:pPr>
    </w:p>
    <w:p>
      <w:pPr>
        <w:spacing w:after="80" w:before="80"/>
      </w:pPr>
      <w:r>
        <w:rPr>
          <w:rFonts w:ascii="Arial" w:cs="Arial" w:eastAsia="Arial" w:hAnsi="Arial"/>
          <w:sz w:val="24"/>
          <w:szCs w:val="24"/>
        </w:rPr>
        <w:t xml:space="preserve">Discovery work closes that gap before it opens. Done well, it takes a few hours. Done poorly — or skipped — it costs days of rework.</w:t>
      </w:r>
    </w:p>
    <w:p>
      <w:pPr>
        <w:spacing w:after="0" w:before="80"/>
      </w:pPr>
    </w:p>
    <w:p>
      <w:pPr>
        <w:spacing w:after="80" w:before="80"/>
      </w:pPr>
      <w:r>
        <w:rPr>
          <w:rFonts w:ascii="Arial" w:cs="Arial" w:eastAsia="Arial" w:hAnsi="Arial"/>
          <w:sz w:val="24"/>
          <w:szCs w:val="24"/>
        </w:rPr>
        <w:t xml:space="preserve">One of the most important things to establish during discovery is how users will predominantly interact with Genie. Genie operates in two distinct modes — standard chat and agent — and understanding which one your users will rely on most has direct consequences for how you design your views, how deeply you annotate your metadata, and whether a metric view is worth the investment. The rest of this document is structured to help you surface that signal naturally, without requiring the business user to understand anything technical about how Genie works.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2   Start With How They Work Today</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Ask about process, not about Genie</w:t>
            </w:r>
          </w:p>
        </w:tc>
      </w:tr>
    </w:tbl>
    <w:p>
      <w:pPr>
        <w:spacing w:after="0" w:before="120"/>
      </w:pPr>
    </w:p>
    <w:p>
      <w:pPr>
        <w:spacing w:after="80" w:before="80"/>
      </w:pPr>
      <w:r>
        <w:rPr>
          <w:rFonts w:ascii="Arial" w:cs="Arial" w:eastAsia="Arial" w:hAnsi="Arial"/>
          <w:sz w:val="24"/>
          <w:szCs w:val="24"/>
        </w:rPr>
        <w:t xml:space="preserve">Do not introduce Genie at the start of the conversation. Business users will anchor on what they think the tool can or cannot do, and their answers will be shaped by that assumption rather than by their real needs.</w:t>
      </w:r>
    </w:p>
    <w:p>
      <w:pPr>
        <w:spacing w:after="0" w:before="80"/>
      </w:pPr>
    </w:p>
    <w:p>
      <w:pPr>
        <w:spacing w:after="80" w:before="80"/>
      </w:pPr>
      <w:r>
        <w:rPr>
          <w:rFonts w:ascii="Arial" w:cs="Arial" w:eastAsia="Arial" w:hAnsi="Arial"/>
          <w:sz w:val="24"/>
          <w:szCs w:val="24"/>
        </w:rPr>
        <w:t xml:space="preserve">Instead, ask about how they currently get answers:</w:t>
      </w:r>
    </w:p>
    <w:p>
      <w:pPr>
        <w:spacing w:after="0" w:before="60"/>
      </w:pPr>
    </w:p>
    <w:p>
      <w:pPr>
        <w:pStyle w:val="ListParagraph"/>
        <w:numPr>
          <w:ilvl w:val="0"/>
          <w:numId w:val="2"/>
        </w:numPr>
        <w:spacing w:after="60" w:before="60"/>
      </w:pPr>
      <w:r>
        <w:rPr>
          <w:rFonts w:ascii="Arial" w:cs="Arial" w:eastAsia="Arial" w:hAnsi="Arial"/>
          <w:sz w:val="24"/>
          <w:szCs w:val="24"/>
        </w:rPr>
        <w:t xml:space="preserve">When you need a number or a report today, what do you do — do you ask someone, pull a report, run something yourself?</w:t>
      </w:r>
    </w:p>
    <w:p>
      <w:pPr>
        <w:pStyle w:val="ListParagraph"/>
        <w:numPr>
          <w:ilvl w:val="0"/>
          <w:numId w:val="2"/>
        </w:numPr>
        <w:spacing w:after="60" w:before="60"/>
      </w:pPr>
      <w:r>
        <w:rPr>
          <w:rFonts w:ascii="Arial" w:cs="Arial" w:eastAsia="Arial" w:hAnsi="Arial"/>
          <w:sz w:val="24"/>
          <w:szCs w:val="24"/>
        </w:rPr>
        <w:t xml:space="preserve">What questions do you find yourself asking repeatedly?</w:t>
      </w:r>
    </w:p>
    <w:p>
      <w:pPr>
        <w:pStyle w:val="ListParagraph"/>
        <w:numPr>
          <w:ilvl w:val="0"/>
          <w:numId w:val="2"/>
        </w:numPr>
        <w:spacing w:after="60" w:before="60"/>
      </w:pPr>
      <w:r>
        <w:rPr>
          <w:rFonts w:ascii="Arial" w:cs="Arial" w:eastAsia="Arial" w:hAnsi="Arial"/>
          <w:sz w:val="24"/>
          <w:szCs w:val="24"/>
        </w:rPr>
        <w:t xml:space="preserve">What questions do you wish you could answer but currently can’t, or that take too long to get?</w:t>
      </w:r>
    </w:p>
    <w:p>
      <w:pPr>
        <w:pStyle w:val="ListParagraph"/>
        <w:numPr>
          <w:ilvl w:val="0"/>
          <w:numId w:val="2"/>
        </w:numPr>
        <w:spacing w:after="60" w:before="60"/>
      </w:pPr>
      <w:r>
        <w:rPr>
          <w:rFonts w:ascii="Arial" w:cs="Arial" w:eastAsia="Arial" w:hAnsi="Arial"/>
          <w:sz w:val="24"/>
          <w:szCs w:val="24"/>
        </w:rPr>
        <w:t xml:space="preserve">When you get a number, what do you typically do with it — do you just need the figure, or do you need to understand why it is what it is?</w:t>
      </w:r>
    </w:p>
    <w:p>
      <w:pPr>
        <w:pStyle w:val="ListParagraph"/>
        <w:numPr>
          <w:ilvl w:val="0"/>
          <w:numId w:val="2"/>
        </w:numPr>
        <w:spacing w:after="60" w:before="60"/>
      </w:pPr>
      <w:r>
        <w:rPr>
          <w:rFonts w:ascii="Arial" w:cs="Arial" w:eastAsia="Arial" w:hAnsi="Arial"/>
          <w:sz w:val="24"/>
          <w:szCs w:val="24"/>
        </w:rPr>
        <w:t xml:space="preserve">When you get an answer, do you usually act on it straight away, or do you typically need to share it, present it, or explain it to someone else?</w:t>
      </w:r>
    </w:p>
    <w:p>
      <w:pPr>
        <w:spacing w:after="0" w:before="80"/>
      </w:pPr>
    </w:p>
    <w:p>
      <w:pPr>
        <w:spacing w:after="80" w:before="80"/>
      </w:pPr>
      <w:r>
        <w:rPr>
          <w:rFonts w:ascii="Arial" w:cs="Arial" w:eastAsia="Arial" w:hAnsi="Arial"/>
          <w:sz w:val="24"/>
          <w:szCs w:val="24"/>
        </w:rPr>
        <w:t xml:space="preserve">The last two questions are the most diagnostic. A user who acts immediately on a number is a lookup user. A user who needs to explain results to a stakeholder or build a narrative around them is an investigative user — and agent mode’s report output is a natural fit for that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after="0" w:before="0"/>
            </w:pPr>
            <w:r>
              <w:rPr>
                <w:rFonts w:ascii="Arial" w:cs="Arial" w:eastAsia="Arial" w:hAnsi="Arial"/>
                <w:b/>
                <w:bCs/>
                <w:sz w:val="24"/>
                <w:szCs w:val="24"/>
              </w:rPr>
              <w:t xml:space="preserve">⚠  </w:t>
            </w:r>
            <w:r>
              <w:rPr>
                <w:rFonts w:ascii="Arial" w:cs="Arial" w:eastAsia="Arial" w:hAnsi="Arial"/>
                <w:sz w:val="24"/>
                <w:szCs w:val="24"/>
              </w:rPr>
              <w:t xml:space="preserve">Business users often describe what they currently get, not what they actually need. Someone who says ‘I need the monthly report from finance’ may actually want the ability to slice that report by a dimension finance never breaks it down by. Probe for the frustration behind the current process — that is usually where the real requirement is hiding.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3   Listen for Two Distinct Patterns</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Sort their questions into buckets as they talk — and use probing questions to draw out the distinction</w:t>
            </w:r>
          </w:p>
        </w:tc>
      </w:tr>
    </w:tbl>
    <w:p>
      <w:pPr>
        <w:spacing w:after="0" w:before="120"/>
      </w:pPr>
    </w:p>
    <w:p>
      <w:pPr>
        <w:spacing w:after="80" w:before="80"/>
      </w:pPr>
      <w:r>
        <w:rPr>
          <w:rFonts w:ascii="Arial" w:cs="Arial" w:eastAsia="Arial" w:hAnsi="Arial"/>
          <w:sz w:val="24"/>
          <w:szCs w:val="24"/>
        </w:rPr>
        <w:t xml:space="preserve">As the business user describes their needs, you are mentally sorting their questions into two categories. You do not need to explain this distinction to them — it is your design input, not their concern. Most business users will not volunteer which pattern applies to them; you need to draw it out.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Lookup and monitoring questions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Investigative questions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They know what they want — they just need fast access to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They are trying to understand something, not just retrieve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Examples: “How many active loans are in region X?” “What is this month’s pipeline?” “Show me customers who haven’t renewed.”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Examples: “Why did our numbers drop last quarter?” “What is driving the increase in cancellations?” “Which customers are at risk and 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Maps to standard chat mode. Results come back as a table or chart. Fast, direct, one question one answer.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Maps to agent mode. Results come back as a structured report with findings, visualisations, and citations. Slower, multi-step reasoning.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A well-built plain or metric view serves these well. Annotation quality matters, but one ambiguous column is unlikely to break the experience.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Requires a metric view with precisely defined measures and thorough annotation. Agent mode assembles multiple findings into a report — one ambiguous metric definition will produce an internally inconsistent report.</w:t>
            </w:r>
          </w:p>
        </w:tc>
      </w:tr>
    </w:tbl>
    <w:p>
      <w:pPr>
        <w:spacing w:after="0" w:before="100"/>
      </w:pPr>
    </w:p>
    <w:p>
      <w:pPr>
        <w:spacing w:after="80" w:before="80"/>
      </w:pPr>
      <w:r>
        <w:rPr>
          <w:rFonts w:ascii="Arial" w:cs="Arial" w:eastAsia="Arial" w:hAnsi="Arial"/>
          <w:sz w:val="24"/>
          <w:szCs w:val="24"/>
        </w:rPr>
        <w:t xml:space="preserve">If you are not sure which pattern applies, use these probing questions to draw it out. None of them require the user to know anything about Genie:</w:t>
      </w:r>
    </w:p>
    <w:p>
      <w:pPr>
        <w:spacing w:after="0" w:before="80"/>
      </w:pPr>
    </w:p>
    <w:p>
      <w:pPr>
        <w:pStyle w:val="ListParagraph"/>
        <w:numPr>
          <w:ilvl w:val="0"/>
          <w:numId w:val="2"/>
        </w:numPr>
        <w:spacing w:after="60" w:before="60"/>
      </w:pPr>
      <w:r>
        <w:rPr>
          <w:rFonts w:ascii="Arial" w:cs="Arial" w:eastAsia="Arial" w:hAnsi="Arial"/>
          <w:sz w:val="24"/>
          <w:szCs w:val="24"/>
        </w:rPr>
        <w:t xml:space="preserve">“When you get a number, is that usually the end of the conversation — or does it lead to more questions?”</w:t>
      </w:r>
    </w:p>
    <w:p>
      <w:pPr>
        <w:pStyle w:val="ListParagraph"/>
        <w:numPr>
          <w:ilvl w:val="0"/>
          <w:numId w:val="2"/>
        </w:numPr>
        <w:spacing w:after="60" w:before="60"/>
      </w:pPr>
      <w:r>
        <w:rPr>
          <w:rFonts w:ascii="Arial" w:cs="Arial" w:eastAsia="Arial" w:hAnsi="Arial"/>
          <w:sz w:val="24"/>
          <w:szCs w:val="24"/>
        </w:rPr>
        <w:t xml:space="preserve">“Do you ever find yourself needing to explain to someone why a number is what it is?”</w:t>
      </w:r>
    </w:p>
    <w:p>
      <w:pPr>
        <w:pStyle w:val="ListParagraph"/>
        <w:numPr>
          <w:ilvl w:val="0"/>
          <w:numId w:val="2"/>
        </w:numPr>
        <w:spacing w:after="60" w:before="60"/>
      </w:pPr>
      <w:r>
        <w:rPr>
          <w:rFonts w:ascii="Arial" w:cs="Arial" w:eastAsia="Arial" w:hAnsi="Arial"/>
          <w:sz w:val="24"/>
          <w:szCs w:val="24"/>
        </w:rPr>
        <w:t xml:space="preserve">“Are there questions where you don’t know what the answer will look like before you ask?”</w:t>
      </w:r>
    </w:p>
    <w:p>
      <w:pPr>
        <w:pStyle w:val="ListParagraph"/>
        <w:numPr>
          <w:ilvl w:val="0"/>
          <w:numId w:val="2"/>
        </w:numPr>
        <w:spacing w:after="60" w:before="60"/>
      </w:pPr>
      <w:r>
        <w:rPr>
          <w:rFonts w:ascii="Arial" w:cs="Arial" w:eastAsia="Arial" w:hAnsi="Arial"/>
          <w:sz w:val="24"/>
          <w:szCs w:val="24"/>
        </w:rPr>
        <w:t xml:space="preserve">“When something unexpected happens in the data, what do you do — do you dig in yourself, or do you escalate it?”</w:t>
      </w:r>
    </w:p>
    <w:p>
      <w:pPr>
        <w:spacing w:after="0" w:before="80"/>
      </w:pPr>
    </w:p>
    <w:p>
      <w:pPr>
        <w:spacing w:after="80" w:before="80"/>
      </w:pPr>
      <w:r>
        <w:rPr>
          <w:rFonts w:ascii="Arial" w:cs="Arial" w:eastAsia="Arial" w:hAnsi="Arial"/>
          <w:sz w:val="24"/>
          <w:szCs w:val="24"/>
        </w:rPr>
        <w:t xml:space="preserve">A user who consistently answers ‘yes’ to these is an investigative user. A user who says their questions are usually straightforward and they know what they’re looking for is a lookup user. Most users are a mix, but one pattern usually dominates — and that dominant pattern should drive your build decisions.</w:t>
      </w:r>
    </w:p>
    <w:p>
      <w:pPr>
        <w:spacing w:after="0" w:before="80"/>
      </w:pPr>
    </w:p>
    <w:p>
      <w:pPr>
        <w:spacing w:after="80" w:before="80"/>
      </w:pPr>
      <w:r>
        <w:rPr>
          <w:rFonts w:ascii="Arial" w:cs="Arial" w:eastAsia="Arial" w:hAnsi="Arial"/>
          <w:b/>
          <w:bCs/>
          <w:sz w:val="24"/>
          <w:szCs w:val="24"/>
        </w:rPr>
        <w:t xml:space="preserve">What this means for your build.  </w:t>
      </w:r>
      <w:r>
        <w:rPr>
          <w:rFonts w:ascii="Arial" w:cs="Arial" w:eastAsia="Arial" w:hAnsi="Arial"/>
          <w:sz w:val="24"/>
          <w:szCs w:val="24"/>
        </w:rPr>
        <w:t xml:space="preserve">If the user skews investigative, invest heavily in metric view definition and annotation quality before you touch the Genie space configuration. Agent mode runs multiple queries and assembles them into a narrative — it will expose every ambiguity in your data model. If the user skews lookup, a well-built gold view with clear column names and a standing filter or two will get you most of the way there. The annotation still matters, but the margin for error is higher.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0" w:before="0"/>
            </w:pPr>
            <w:r>
              <w:rPr>
                <w:rFonts w:ascii="Arial" w:cs="Arial" w:eastAsia="Arial" w:hAnsi="Arial"/>
                <w:b/>
                <w:bCs/>
                <w:sz w:val="24"/>
                <w:szCs w:val="24"/>
              </w:rPr>
              <w:t xml:space="preserve">✓  Best Practice    </w:t>
            </w:r>
            <w:r>
              <w:rPr>
                <w:rFonts w:ascii="Arial" w:cs="Arial" w:eastAsia="Arial" w:hAnsi="Arial"/>
                <w:sz w:val="24"/>
                <w:szCs w:val="24"/>
              </w:rPr>
              <w:t xml:space="preserve">If the user’s questions are predominantly investigative — ‘why did X happen’, ‘what is driving Y’ — a metric view with pre-defined measures is not optional. Investigative mode assembles multiple findings into a report. If the underlying metrics are ambiguously defined, the report will be internally inconsistent. Pre-defined measures give agent mode reliable building blocks.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4   Set Expectations Through Examples, Not Explanation</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Confirm your hypothesis — don’t start the decision from scratch</w:t>
            </w:r>
          </w:p>
        </w:tc>
      </w:tr>
    </w:tbl>
    <w:p>
      <w:pPr>
        <w:spacing w:after="0" w:before="120"/>
      </w:pPr>
    </w:p>
    <w:p>
      <w:pPr>
        <w:spacing w:after="80" w:before="80"/>
      </w:pPr>
      <w:r>
        <w:rPr>
          <w:rFonts w:ascii="Arial" w:cs="Arial" w:eastAsia="Arial" w:hAnsi="Arial"/>
          <w:sz w:val="24"/>
          <w:szCs w:val="24"/>
        </w:rPr>
        <w:t xml:space="preserve">By the time you reach this conversation, you should already have a working hypothesis about which mode better fits the user’s needs, based on what you heard in sections 2 and 3. Use this step to confirm that hypothesis — not to present an open choice as if you have no view.</w:t>
      </w:r>
    </w:p>
    <w:p>
      <w:pPr>
        <w:spacing w:after="0" w:before="80"/>
      </w:pPr>
    </w:p>
    <w:p>
      <w:pPr>
        <w:spacing w:after="80" w:before="80"/>
      </w:pPr>
      <w:r>
        <w:rPr>
          <w:rFonts w:ascii="Arial" w:cs="Arial" w:eastAsia="Arial" w:hAnsi="Arial"/>
          <w:sz w:val="24"/>
          <w:szCs w:val="24"/>
        </w:rPr>
        <w:t xml:space="preserve">Do not explain how Genie works. Instead, describe the outputs they can expect in plain language, and ask which one sounds right: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What to say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What it maps 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“You type a question and get back a table or a chart — like a pivot table that answers itself.”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Standard chat mode. Fast, direct, one question one answer. Best for lookup and monitoring needs.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“You ask a bigger question and get back something more like a short briefing document — findings, charts, and an explanation of what the data shows. You can export it as a PDF.”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Agent mode. Multi-step reasoning, narrative output, slower. Best for investigative and analytical needs.</w:t>
            </w:r>
          </w:p>
        </w:tc>
      </w:tr>
    </w:tbl>
    <w:p>
      <w:pPr>
        <w:spacing w:after="0" w:before="100"/>
      </w:pPr>
    </w:p>
    <w:p>
      <w:pPr>
        <w:spacing w:after="80" w:before="80"/>
      </w:pPr>
      <w:r>
        <w:rPr>
          <w:rFonts w:ascii="Arial" w:cs="Arial" w:eastAsia="Arial" w:hAnsi="Arial"/>
          <w:sz w:val="24"/>
          <w:szCs w:val="24"/>
        </w:rPr>
        <w:t xml:space="preserve">Then ask: “Which of those sounds more like what you’re picturing?”</w:t>
      </w:r>
    </w:p>
    <w:p>
      <w:pPr>
        <w:spacing w:after="0" w:before="80"/>
      </w:pPr>
    </w:p>
    <w:p>
      <w:pPr>
        <w:spacing w:after="80" w:before="80"/>
      </w:pPr>
      <w:r>
        <w:rPr>
          <w:rFonts w:ascii="Arial" w:cs="Arial" w:eastAsia="Arial" w:hAnsi="Arial"/>
          <w:sz w:val="24"/>
          <w:szCs w:val="24"/>
        </w:rPr>
        <w:t xml:space="preserve">If their answer matches your hypothesis, you have confirmation. If it doesn’t, treat that as a signal to go back and probe further — either you misread the pattern in section 3, or the user has not yet articulated a need they actually have.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after="0" w:before="0"/>
            </w:pPr>
            <w:r>
              <w:rPr>
                <w:rFonts w:ascii="Arial" w:cs="Arial" w:eastAsia="Arial" w:hAnsi="Arial"/>
                <w:b/>
                <w:bCs/>
                <w:sz w:val="24"/>
                <w:szCs w:val="24"/>
              </w:rPr>
              <w:t xml:space="preserve">⚠  </w:t>
            </w:r>
            <w:r>
              <w:rPr>
                <w:rFonts w:ascii="Arial" w:cs="Arial" w:eastAsia="Arial" w:hAnsi="Arial"/>
                <w:sz w:val="24"/>
                <w:szCs w:val="24"/>
              </w:rPr>
              <w:t xml:space="preserve">If a user says they want both — quick lookups and deep investigation — that is a valid answer. It means you need to build for both, which raises the bar: you will need a metric view, thorough annotation, and benchmark questions that cover both types of use. Do not design only for the mode they mention first.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5   Pin Down the Benchmark Questions</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Get specific questions before you build anything — and make sure they reflect the expected mode</w:t>
            </w:r>
          </w:p>
        </w:tc>
      </w:tr>
    </w:tbl>
    <w:p>
      <w:pPr>
        <w:spacing w:after="0" w:before="120"/>
      </w:pPr>
    </w:p>
    <w:p>
      <w:pPr>
        <w:spacing w:after="80" w:before="80"/>
      </w:pPr>
      <w:r>
        <w:rPr>
          <w:rFonts w:ascii="Arial" w:cs="Arial" w:eastAsia="Arial" w:hAnsi="Arial"/>
          <w:sz w:val="24"/>
          <w:szCs w:val="24"/>
        </w:rPr>
        <w:t xml:space="preserve">Before any technical work begins, get the business user to commit to 5–10 specific questions the space must be able to answer correctly. These become your acceptance criteria and your view validation test set.</w:t>
      </w:r>
    </w:p>
    <w:p>
      <w:pPr>
        <w:spacing w:after="0" w:before="80"/>
      </w:pPr>
    </w:p>
    <w:p>
      <w:pPr>
        <w:spacing w:after="80" w:before="80"/>
      </w:pPr>
      <w:r>
        <w:rPr>
          <w:rFonts w:ascii="Arial" w:cs="Arial" w:eastAsia="Arial" w:hAnsi="Arial"/>
          <w:sz w:val="24"/>
          <w:szCs w:val="24"/>
        </w:rPr>
        <w:t xml:space="preserve">Push for specificity. Vague requirements produce vague views: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Too vague — push back on this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Specific enough — this is what you need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“I want to see loan performance.”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“Total committed balance by relationship manager for the current fiscal year, compared to the same period last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“Show me customer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“Number of customers who moved from active to inactive status in the last 90 days, broken down by region.”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“Something on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“Open opportunities by stage and owner, filtered to deals expected to close this quarter.”</w:t>
            </w:r>
          </w:p>
        </w:tc>
      </w:tr>
    </w:tbl>
    <w:p>
      <w:pPr>
        <w:spacing w:after="0" w:before="100"/>
      </w:pPr>
    </w:p>
    <w:p>
      <w:pPr>
        <w:spacing w:after="80" w:before="80"/>
      </w:pPr>
      <w:r>
        <w:rPr>
          <w:rFonts w:ascii="Arial" w:cs="Arial" w:eastAsia="Arial" w:hAnsi="Arial"/>
          <w:sz w:val="24"/>
          <w:szCs w:val="24"/>
        </w:rPr>
        <w:t xml:space="preserve">Once you have specific questions, make sure the benchmark set reflects the mode you have identified. Lookup and investigative benchmark questions look different, and they are validated differently: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Question 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Example benchmark question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How to validate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Lookup (chat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“Total committed balance by relationship manager for the current fiscal year vs. prior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Write a single SQL query against your view and verify the result against a known-good source. Pass or fail is clear.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Investigative (agent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“Why did cancellations increase in Q3?”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Cannot be validated with a single query. Validate the underlying metrics and dimensions separately, then confirm agent mode surfaces the right dimensions in its research plan. Expect iteration.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after="0" w:before="0"/>
            </w:pPr>
            <w:r>
              <w:rPr>
                <w:rFonts w:ascii="Arial" w:cs="Arial" w:eastAsia="Arial" w:hAnsi="Arial"/>
                <w:b/>
                <w:bCs/>
                <w:sz w:val="24"/>
                <w:szCs w:val="24"/>
              </w:rPr>
              <w:t xml:space="preserve">⚠  </w:t>
            </w:r>
            <w:r>
              <w:rPr>
                <w:rFonts w:ascii="Arial" w:cs="Arial" w:eastAsia="Arial" w:hAnsi="Arial"/>
                <w:sz w:val="24"/>
                <w:szCs w:val="24"/>
              </w:rPr>
              <w:t xml:space="preserve">Do not try to validate an investigative benchmark question the same way you validate a lookup question. If you run a single SQL query and it returns a number, that does not tell you whether agent mode will correctly identify the relevant dimensions, cross-check them, and produce a coherent report. Investigative benchmarks require a different kind of testing — review the research steps agent mode takes, not just the final answer.</w:t>
            </w:r>
          </w:p>
        </w:tc>
      </w:tr>
    </w:tbl>
    <w:p>
      <w:pPr>
        <w:spacing w:after="0" w:before="80"/>
      </w:pPr>
    </w:p>
    <w:p>
      <w:pPr>
        <w:spacing w:after="80" w:before="80"/>
      </w:pPr>
      <w:r>
        <w:rPr>
          <w:rFonts w:ascii="Arial" w:cs="Arial" w:eastAsia="Arial" w:hAnsi="Arial"/>
          <w:sz w:val="24"/>
          <w:szCs w:val="24"/>
        </w:rPr>
        <w:t xml:space="preserve">Write the benchmark questions down and share them back with the business user before you build. Their sign-off on this list is the boundary between discovery and design. If the question set changes after you have built, treat it as a scope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0" w:before="0"/>
            </w:pPr>
            <w:r>
              <w:rPr>
                <w:rFonts w:ascii="Arial" w:cs="Arial" w:eastAsia="Arial" w:hAnsi="Arial"/>
                <w:b/>
                <w:bCs/>
                <w:sz w:val="24"/>
                <w:szCs w:val="24"/>
              </w:rPr>
              <w:t xml:space="preserve">✓  Best Practice    </w:t>
            </w:r>
            <w:r>
              <w:rPr>
                <w:rFonts w:ascii="Arial" w:cs="Arial" w:eastAsia="Arial" w:hAnsi="Arial"/>
                <w:sz w:val="24"/>
                <w:szCs w:val="24"/>
              </w:rPr>
              <w:t xml:space="preserve">The benchmark questions serve two purposes: they tell you what views to build and what logic to encode, and they give you testable SQL to validate those views against before Genie ever sees them. A space that passes its benchmark questions reliably is a space that is ready to share.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6   What to Carry Into the Build</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The outputs of discovery that drive technical decisions</w:t>
            </w:r>
          </w:p>
        </w:tc>
      </w:tr>
    </w:tbl>
    <w:p>
      <w:pPr>
        <w:spacing w:after="0" w:before="120"/>
      </w:pPr>
    </w:p>
    <w:p>
      <w:pPr>
        <w:spacing w:after="80" w:before="80"/>
      </w:pPr>
      <w:r>
        <w:rPr>
          <w:rFonts w:ascii="Arial" w:cs="Arial" w:eastAsia="Arial" w:hAnsi="Arial"/>
          <w:sz w:val="24"/>
          <w:szCs w:val="24"/>
        </w:rPr>
        <w:t xml:space="preserve">When discovery is complete you should be able to answer all of the following. If any are still unclear, go back to the business user before building. The first two questions are the most consequential — they cascade into almost every other technical decision.</w:t>
      </w:r>
    </w:p>
    <w:p>
      <w:pPr>
        <w:spacing w:after="0" w:before="80"/>
      </w:pPr>
    </w:p>
    <w:p>
      <w:pPr>
        <w:pStyle w:val="ListParagraph"/>
        <w:numPr>
          <w:ilvl w:val="0"/>
          <w:numId w:val="2"/>
        </w:numPr>
        <w:spacing w:after="60" w:before="60"/>
      </w:pPr>
      <w:r>
        <w:rPr>
          <w:rFonts w:ascii="Arial" w:cs="Arial" w:eastAsia="Arial" w:hAnsi="Arial"/>
          <w:b/>
          <w:bCs/>
          <w:sz w:val="24"/>
          <w:szCs w:val="24"/>
        </w:rPr>
        <w:t xml:space="preserve">Are the user’s questions primarily lookup-based, investigative, or a mix of both?  </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b/>
          <w:bCs/>
          <w:sz w:val="24"/>
          <w:szCs w:val="24"/>
        </w:rPr>
        <w:t xml:space="preserve">Is a metric view required?  </w:t>
      </w:r>
      <w:r>
        <w:rPr>
          <w:rFonts w:ascii="Arial" w:cs="Arial" w:eastAsia="Arial" w:hAnsi="Arial"/>
          <w:sz w:val="24"/>
          <w:szCs w:val="24"/>
        </w:rPr>
        <w:t xml:space="preserve"/>
      </w:r>
    </w:p>
    <w:p>
      <w:pPr>
        <w:pStyle w:val="ListParagraph"/>
        <w:numPr>
          <w:ilvl w:val="0"/>
          <w:numId w:val="2"/>
        </w:numPr>
        <w:spacing w:after="60" w:before="0"/>
        <w:ind w:left="1080" w:hanging="360"/>
      </w:pPr>
      <w:r>
        <w:rPr>
          <w:rFonts w:ascii="Arial" w:cs="Arial" w:eastAsia="Arial" w:hAnsi="Arial"/>
          <w:i/>
          <w:iCs/>
          <w:sz w:val="24"/>
          <w:szCs w:val="24"/>
        </w:rPr>
        <w:t xml:space="preserve">Yes if questions are predominantly investigative or analytical.</w:t>
      </w:r>
    </w:p>
    <w:p>
      <w:pPr>
        <w:pStyle w:val="ListParagraph"/>
        <w:numPr>
          <w:ilvl w:val="0"/>
          <w:numId w:val="2"/>
        </w:numPr>
        <w:spacing w:after="60" w:before="0"/>
        <w:ind w:left="1080" w:hanging="360"/>
      </w:pPr>
      <w:r>
        <w:rPr>
          <w:rFonts w:ascii="Arial" w:cs="Arial" w:eastAsia="Arial" w:hAnsi="Arial"/>
          <w:i/>
          <w:iCs/>
          <w:sz w:val="24"/>
          <w:szCs w:val="24"/>
        </w:rPr>
        <w:t xml:space="preserve">Yes if any measures need a precise, consistent business definition.</w:t>
      </w:r>
    </w:p>
    <w:p>
      <w:pPr>
        <w:pStyle w:val="ListParagraph"/>
        <w:numPr>
          <w:ilvl w:val="0"/>
          <w:numId w:val="2"/>
        </w:numPr>
        <w:spacing w:after="60" w:before="0"/>
        <w:ind w:left="1080" w:hanging="360"/>
      </w:pPr>
      <w:r>
        <w:rPr>
          <w:rFonts w:ascii="Arial" w:cs="Arial" w:eastAsia="Arial" w:hAnsi="Arial"/>
          <w:i/>
          <w:iCs/>
          <w:sz w:val="24"/>
          <w:szCs w:val="24"/>
        </w:rPr>
        <w:t xml:space="preserve">A plain gold view may be sufficient for pure lookup spaces.</w:t>
      </w:r>
    </w:p>
    <w:p>
      <w:pPr>
        <w:spacing w:after="0" w:before="40"/>
      </w:pPr>
    </w:p>
    <w:p>
      <w:pPr>
        <w:pStyle w:val="ListParagraph"/>
        <w:numPr>
          <w:ilvl w:val="0"/>
          <w:numId w:val="2"/>
        </w:numPr>
        <w:spacing w:after="60" w:before="60"/>
      </w:pPr>
      <w:r>
        <w:rPr>
          <w:rFonts w:ascii="Arial" w:cs="Arial" w:eastAsia="Arial" w:hAnsi="Arial"/>
          <w:sz w:val="24"/>
          <w:szCs w:val="24"/>
        </w:rPr>
        <w:t xml:space="preserve">Who is the primary user and what is their level of data literacy?</w:t>
      </w:r>
    </w:p>
    <w:p>
      <w:pPr>
        <w:pStyle w:val="ListParagraph"/>
        <w:numPr>
          <w:ilvl w:val="0"/>
          <w:numId w:val="2"/>
        </w:numPr>
        <w:spacing w:after="60" w:before="60"/>
      </w:pPr>
      <w:r>
        <w:rPr>
          <w:rFonts w:ascii="Arial" w:cs="Arial" w:eastAsia="Arial" w:hAnsi="Arial"/>
          <w:sz w:val="24"/>
          <w:szCs w:val="24"/>
        </w:rPr>
        <w:t xml:space="preserve">What domain does the space cover? (One domain only — if two audiences or topics have emerged, plan for two spaces.)</w:t>
      </w:r>
    </w:p>
    <w:p>
      <w:pPr>
        <w:pStyle w:val="ListParagraph"/>
        <w:numPr>
          <w:ilvl w:val="0"/>
          <w:numId w:val="2"/>
        </w:numPr>
        <w:spacing w:after="60" w:before="60"/>
      </w:pPr>
      <w:r>
        <w:rPr>
          <w:rFonts w:ascii="Arial" w:cs="Arial" w:eastAsia="Arial" w:hAnsi="Arial"/>
          <w:sz w:val="24"/>
          <w:szCs w:val="24"/>
        </w:rPr>
        <w:t xml:space="preserve">What are the 5–10 benchmark questions the space must answer correctly, and are they labelled as lookup or investigative?</w:t>
      </w:r>
    </w:p>
    <w:p>
      <w:pPr>
        <w:pStyle w:val="ListParagraph"/>
        <w:numPr>
          <w:ilvl w:val="0"/>
          <w:numId w:val="2"/>
        </w:numPr>
        <w:spacing w:after="60" w:before="60"/>
      </w:pPr>
      <w:r>
        <w:rPr>
          <w:rFonts w:ascii="Arial" w:cs="Arial" w:eastAsia="Arial" w:hAnsi="Arial"/>
          <w:sz w:val="24"/>
          <w:szCs w:val="24"/>
        </w:rPr>
        <w:t xml:space="preserve">What vocabulary does the user use? (Column names and view names should match this vocabulary, not the source system’s.)</w:t>
      </w:r>
    </w:p>
    <w:p>
      <w:pPr>
        <w:pStyle w:val="ListParagraph"/>
        <w:numPr>
          <w:ilvl w:val="0"/>
          <w:numId w:val="2"/>
        </w:numPr>
        <w:spacing w:after="60" w:before="60"/>
      </w:pPr>
      <w:r>
        <w:rPr>
          <w:rFonts w:ascii="Arial" w:cs="Arial" w:eastAsia="Arial" w:hAnsi="Arial"/>
          <w:sz w:val="24"/>
          <w:szCs w:val="24"/>
        </w:rPr>
        <w:t xml:space="preserve">Are there any standing filters or date boundaries that should always apply?</w:t>
      </w:r>
    </w:p>
    <w:p>
      <w:pPr>
        <w:pStyle w:val="ListParagraph"/>
        <w:numPr>
          <w:ilvl w:val="0"/>
          <w:numId w:val="2"/>
        </w:numPr>
        <w:spacing w:after="60" w:before="60"/>
      </w:pPr>
      <w:r>
        <w:rPr>
          <w:rFonts w:ascii="Arial" w:cs="Arial" w:eastAsia="Arial" w:hAnsi="Arial"/>
          <w:sz w:val="24"/>
          <w:szCs w:val="24"/>
        </w:rPr>
        <w:t xml:space="preserve">Are there any business rules — fiscal year definitions, status classifications, source priorities — that must be encoded consistently?</w:t>
      </w:r>
    </w:p>
    <w:p>
      <w:pPr>
        <w:spacing w:after="0" w:before="100"/>
      </w:pPr>
    </w:p>
    <w:p>
      <w:pPr>
        <w:spacing w:after="80" w:before="80"/>
      </w:pPr>
      <w:r>
        <w:rPr>
          <w:rFonts w:ascii="Arial" w:cs="Arial" w:eastAsia="Arial" w:hAnsi="Arial"/>
          <w:sz w:val="24"/>
          <w:szCs w:val="24"/>
        </w:rPr>
        <w:t xml:space="preserve">Carry these answers into the data engineering and space configuration stages. They are the brief that every subsequent technical decision should be tested against.</w:t>
      </w:r>
    </w:p>
    <w:p>
      <w:pPr>
        <w:spacing w:after="0" w:before="80"/>
      </w:pPr>
    </w:p>
    <w:p>
      <w:pPr>
        <w:spacing w:after="80" w:before="80"/>
      </w:pPr>
      <w:r>
        <w:rPr>
          <w:rFonts w:ascii="Arial" w:cs="Arial" w:eastAsia="Arial" w:hAnsi="Arial"/>
          <w:b/>
          <w:bCs/>
          <w:sz w:val="24"/>
          <w:szCs w:val="24"/>
        </w:rPr>
        <w:t xml:space="preserve">Next: </w:t>
      </w:r>
      <w:r>
        <w:rPr>
          <w:rFonts w:ascii="Arial" w:cs="Arial" w:eastAsia="Arial" w:hAnsi="Arial"/>
          <w:sz w:val="24"/>
          <w:szCs w:val="24"/>
        </w:rPr>
        <w:t xml:space="preserve">Return to the </w:t>
      </w:r>
      <w:r>
        <w:rPr>
          <w:rFonts w:ascii="Arial" w:cs="Arial" w:eastAsia="Arial" w:hAnsi="Arial"/>
          <w:i/>
          <w:iCs/>
          <w:sz w:val="24"/>
          <w:szCs w:val="24"/>
        </w:rPr>
        <w:t xml:space="preserve">Databricks Genie Space Best Practice Guide</w:t>
      </w:r>
      <w:r>
        <w:rPr>
          <w:rFonts w:ascii="Arial" w:cs="Arial" w:eastAsia="Arial" w:hAnsi="Arial"/>
          <w:sz w:val="24"/>
          <w:szCs w:val="24"/>
        </w:rPr>
        <w:t xml:space="preserve"> and work through the build stages in sequence.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2026-05-29T11:46:02.057Z</dcterms:created>
  <dcterms:modified xsi:type="dcterms:W3CDTF">2026-05-29T11:46:02.069Z</dcterms:modified>
</cp:coreProperties>
</file>

<file path=docProps/custom.xml><?xml version="1.0" encoding="utf-8"?>
<Properties xmlns="http://schemas.openxmlformats.org/officeDocument/2006/custom-properties" xmlns:vt="http://schemas.openxmlformats.org/officeDocument/2006/docPropsVTypes"/>
</file>