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N</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published equivalent organizational detail in their AI compliance plans</w:t>
      </w:r>
    </w:p>
    <w:p>
      <w:pPr>
        <w:pStyle w:val="Body"/>
        <w:bidi w:val="0"/>
      </w:pPr>
    </w:p>
    <w:p>
      <w:pPr>
        <w:pStyle w:val="Body"/>
        <w:bidi w:val="0"/>
      </w:pP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8"/>
        <w:gridCol w:w="1967"/>
        <w:gridCol w:w="5248"/>
      </w:tblGrid>
      <w:tr>
        <w:tblPrEx>
          <w:shd w:val="clear" w:color="auto" w:fill="auto"/>
        </w:tblPrEx>
        <w:trPr>
          <w:trHeight w:val="481"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4f3ec"/>
            <w:tcMar>
              <w:top w:type="dxa" w:w="160"/>
              <w:left w:type="dxa" w:w="200"/>
              <w:bottom w:type="dxa" w:w="160"/>
              <w:right w:type="dxa" w:w="200"/>
            </w:tcMar>
            <w:vAlign w:val="center"/>
          </w:tcPr>
          <w:p>
            <w:pPr>
              <w:pStyle w:val="Table Style 2"/>
              <w:suppressAutoHyphens w:val="1"/>
              <w:jc w:val="left"/>
            </w:pPr>
            <w:r>
              <w:rPr>
                <w:rFonts w:ascii="Helvetica Neue" w:hAnsi="Helvetica Neue"/>
                <w:outline w:val="0"/>
                <w:color w:val="3d3d39"/>
                <w:sz w:val="22"/>
                <w:szCs w:val="22"/>
                <w:rtl w:val="0"/>
                <w14:textFill>
                  <w14:solidFill>
                    <w14:srgbClr w14:val="3D3D3A"/>
                  </w14:solidFill>
                </w14:textFill>
              </w:rPr>
              <w:t>Organization</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4f3ec"/>
            <w:tcMar>
              <w:top w:type="dxa" w:w="160"/>
              <w:left w:type="dxa" w:w="200"/>
              <w:bottom w:type="dxa" w:w="160"/>
              <w:right w:type="dxa" w:w="200"/>
            </w:tcMar>
            <w:vAlign w:val="center"/>
          </w:tcPr>
          <w:p>
            <w:pPr>
              <w:pStyle w:val="Table Style 2"/>
              <w:suppressAutoHyphens w:val="1"/>
              <w:jc w:val="left"/>
            </w:pPr>
            <w:r>
              <w:rPr>
                <w:rFonts w:ascii="Helvetica Neue" w:hAnsi="Helvetica Neue"/>
                <w:outline w:val="0"/>
                <w:color w:val="3d3d39"/>
                <w:sz w:val="22"/>
                <w:szCs w:val="22"/>
                <w:rtl w:val="0"/>
                <w14:textFill>
                  <w14:solidFill>
                    <w14:srgbClr w14:val="3D3D3A"/>
                  </w14:solidFill>
                </w14:textFill>
              </w:rPr>
              <w:t>CAIO placement</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4f3ec"/>
            <w:tcMar>
              <w:top w:type="dxa" w:w="160"/>
              <w:left w:type="dxa" w:w="200"/>
              <w:bottom w:type="dxa" w:w="160"/>
              <w:right w:type="dxa" w:w="200"/>
            </w:tcMar>
            <w:vAlign w:val="center"/>
          </w:tcPr>
          <w:p>
            <w:pPr>
              <w:pStyle w:val="Table Style 2"/>
              <w:suppressAutoHyphens w:val="1"/>
              <w:jc w:val="left"/>
            </w:pPr>
            <w:r>
              <w:rPr>
                <w:rFonts w:ascii="Helvetica Neue" w:hAnsi="Helvetica Neue"/>
                <w:outline w:val="0"/>
                <w:color w:val="3d3d39"/>
                <w:sz w:val="22"/>
                <w:szCs w:val="22"/>
                <w:rtl w:val="0"/>
                <w14:textFill>
                  <w14:solidFill>
                    <w14:srgbClr w14:val="3D3D3A"/>
                  </w14:solidFill>
                </w14:textFill>
              </w:rPr>
              <w:t>Notes on structure &amp; closest relationship</w:t>
            </w:r>
          </w:p>
        </w:tc>
      </w:tr>
      <w:tr>
        <w:tblPrEx>
          <w:shd w:val="clear" w:color="auto" w:fill="auto"/>
        </w:tblPrEx>
        <w:trPr>
          <w:trHeight w:val="280" w:hRule="atLeast"/>
        </w:trPr>
        <w:tc>
          <w:tcPr>
            <w:tcW w:type="dxa" w:w="935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4f3ec"/>
            <w:tcMar>
              <w:top w:type="dxa" w:w="120"/>
              <w:left w:type="dxa" w:w="200"/>
              <w:bottom w:type="dxa" w:w="120"/>
              <w:right w:type="dxa" w:w="200"/>
            </w:tcMar>
            <w:vAlign w:val="top"/>
          </w:tcPr>
          <w:p>
            <w:pPr>
              <w:pStyle w:val="Table Style 2"/>
              <w:suppressAutoHyphens w:val="1"/>
              <w:jc w:val="left"/>
            </w:pPr>
            <w:r>
              <w:rPr>
                <w:rFonts w:ascii="Helvetica Neue" w:hAnsi="Helvetica Neue"/>
                <w:outline w:val="0"/>
                <w:color w:val="3d3d39"/>
                <w:sz w:val="24"/>
                <w:szCs w:val="24"/>
                <w:rtl w:val="0"/>
                <w14:textFill>
                  <w14:solidFill>
                    <w14:srgbClr w14:val="3D3D3A"/>
                  </w14:solidFill>
                </w14:textFill>
              </w:rPr>
              <w:t>FEDERAL FINANCIAL REGULATORS</w:t>
            </w:r>
          </w:p>
        </w:tc>
      </w:tr>
      <w:tr>
        <w:tblPrEx>
          <w:shd w:val="clear" w:color="auto" w:fill="auto"/>
        </w:tblPrEx>
        <w:trPr>
          <w:trHeight w:val="266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131313"/>
                <w:sz w:val="26"/>
                <w:szCs w:val="26"/>
                <w:rtl w:val="0"/>
                <w14:textFill>
                  <w14:solidFill>
                    <w14:srgbClr w14:val="141413"/>
                  </w14:solidFill>
                </w14:textFill>
              </w:rPr>
              <w:t>FDIC</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3b3388"/>
                <w:sz w:val="22"/>
                <w:szCs w:val="22"/>
                <w:shd w:val="clear" w:color="auto" w:fill="edecfe"/>
                <w:rtl w:val="0"/>
                <w14:textFill>
                  <w14:solidFill>
                    <w14:srgbClr w14:val="3C3489"/>
                  </w14:solidFill>
                </w14:textFill>
              </w:rPr>
              <w:t>Standalone</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 xml:space="preserve">CAIO and CDO are separate, co-equal roles that jointly oversee AI use. Closest working relationship is with the CDO </w:t>
            </w:r>
            <w:r>
              <w:rPr>
                <w:outline w:val="0"/>
                <w:color w:val="131313"/>
                <w:sz w:val="26"/>
                <w:szCs w:val="26"/>
                <w:rtl w:val="0"/>
                <w:lang w:val="en-US"/>
                <w14:textFill>
                  <w14:solidFill>
                    <w14:srgbClr w14:val="141413"/>
                  </w14:solidFill>
                </w14:textFill>
              </w:rPr>
              <w:t xml:space="preserve">— </w:t>
            </w:r>
            <w:r>
              <w:rPr>
                <w:outline w:val="0"/>
                <w:color w:val="131313"/>
                <w:sz w:val="26"/>
                <w:szCs w:val="26"/>
                <w:rtl w:val="0"/>
                <w:lang w:val="en-US"/>
                <w14:textFill>
                  <w14:solidFill>
                    <w14:srgbClr w14:val="141413"/>
                  </w14:solidFill>
                </w14:textFill>
              </w:rPr>
              <w:t>they co-author the AI use case inventory, manage waivers together, and co-chair the AI Coordination Committee (AICC). Neither reports to the other.</w:t>
            </w:r>
          </w:p>
          <w:p>
            <w:pPr>
              <w:pStyle w:val="Table Style 2"/>
              <w:suppressAutoHyphens w:val="1"/>
              <w:jc w:val="left"/>
            </w:pPr>
            <w:r>
              <w:rPr>
                <w:outline w:val="0"/>
                <w:color w:val="3d3d39"/>
                <w:sz w:val="24"/>
                <w:szCs w:val="24"/>
                <w:rtl w:val="0"/>
                <w:lang w:val="en-US"/>
                <w14:textFill>
                  <w14:solidFill>
                    <w14:srgbClr w14:val="3D3D3A"/>
                  </w14:solidFill>
                </w14:textFill>
              </w:rPr>
              <w:t>Source: FDIC AI Compliance Plan (Sept. 2025)</w:t>
            </w:r>
          </w:p>
        </w:tc>
      </w:tr>
      <w:tr>
        <w:tblPrEx>
          <w:shd w:val="clear" w:color="auto" w:fill="auto"/>
        </w:tblPrEx>
        <w:trPr>
          <w:trHeight w:val="206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131313"/>
                <w:sz w:val="26"/>
                <w:szCs w:val="26"/>
                <w:rtl w:val="0"/>
                <w14:textFill>
                  <w14:solidFill>
                    <w14:srgbClr w14:val="141413"/>
                  </w14:solidFill>
                </w14:textFill>
              </w:rPr>
              <w:t>NCUA</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3b3388"/>
                <w:sz w:val="22"/>
                <w:szCs w:val="22"/>
                <w:shd w:val="clear" w:color="auto" w:fill="edecfe"/>
                <w:rtl w:val="0"/>
                <w14:textFill>
                  <w14:solidFill>
                    <w14:srgbClr w14:val="3C3489"/>
                  </w14:solidFill>
                </w14:textFill>
              </w:rPr>
              <w:t>Standalone</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CAIO Amber Gravius led development of the AI Compliance Plan. The primary AI governance responsibility rests with the CAIO as a distinct role, not embedded under CIO or CDO.</w:t>
            </w:r>
          </w:p>
          <w:p>
            <w:pPr>
              <w:pStyle w:val="Table Style 2"/>
              <w:suppressAutoHyphens w:val="1"/>
              <w:jc w:val="left"/>
            </w:pPr>
            <w:r>
              <w:rPr>
                <w:outline w:val="0"/>
                <w:color w:val="3d3d39"/>
                <w:sz w:val="24"/>
                <w:szCs w:val="24"/>
                <w:rtl w:val="0"/>
                <w:lang w:val="en-US"/>
                <w14:textFill>
                  <w14:solidFill>
                    <w14:srgbClr w14:val="3D3D3A"/>
                  </w14:solidFill>
                </w14:textFill>
              </w:rPr>
              <w:t>Source: NCUA AI Compliance Plan (Sept. 2025)</w:t>
            </w:r>
          </w:p>
        </w:tc>
      </w:tr>
      <w:tr>
        <w:tblPrEx>
          <w:shd w:val="clear" w:color="auto" w:fill="auto"/>
        </w:tblPrEx>
        <w:trPr>
          <w:trHeight w:val="234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131313"/>
                <w:sz w:val="26"/>
                <w:szCs w:val="26"/>
                <w:rtl w:val="0"/>
                <w14:textFill>
                  <w14:solidFill>
                    <w14:srgbClr w14:val="141413"/>
                  </w14:solidFill>
                </w14:textFill>
              </w:rPr>
              <w:t>Federal Reserve Board</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0e6d55"/>
                <w:sz w:val="22"/>
                <w:szCs w:val="22"/>
                <w:shd w:val="clear" w:color="auto" w:fill="e0f4ed"/>
                <w:rtl w:val="0"/>
                <w14:textFill>
                  <w14:solidFill>
                    <w14:srgbClr w14:val="0F6E56"/>
                  </w14:solidFill>
                </w14:textFill>
              </w:rPr>
              <w:t>Under CDO</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The AI Program Office was established within the Division of Information Technology, reporting to the Chief Data Officer. CAIO works alongside the CDO on AI policy and governance.</w:t>
            </w:r>
          </w:p>
          <w:p>
            <w:pPr>
              <w:pStyle w:val="Table Style 2"/>
              <w:suppressAutoHyphens w:val="1"/>
              <w:jc w:val="left"/>
            </w:pPr>
            <w:r>
              <w:rPr>
                <w:outline w:val="0"/>
                <w:color w:val="3d3d39"/>
                <w:sz w:val="24"/>
                <w:szCs w:val="24"/>
                <w:rtl w:val="0"/>
                <w:lang w:val="en-US"/>
                <w14:textFill>
                  <w14:solidFill>
                    <w14:srgbClr w14:val="3D3D3A"/>
                  </w14:solidFill>
                </w14:textFill>
              </w:rPr>
              <w:t>Source: Fed AI Compliance Plan (Sept. 2025); Anderson Monken, Fed AI Program Office</w:t>
            </w:r>
          </w:p>
        </w:tc>
      </w:tr>
      <w:tr>
        <w:tblPrEx>
          <w:shd w:val="clear" w:color="auto" w:fill="auto"/>
        </w:tblPrEx>
        <w:trPr>
          <w:trHeight w:val="296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131313"/>
                <w:sz w:val="26"/>
                <w:szCs w:val="26"/>
                <w:rtl w:val="0"/>
                <w14:textFill>
                  <w14:solidFill>
                    <w14:srgbClr w14:val="141413"/>
                  </w14:solidFill>
                </w14:textFill>
              </w:rPr>
              <w:t>CFPB</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993b1d"/>
                <w:sz w:val="22"/>
                <w:szCs w:val="22"/>
                <w:shd w:val="clear" w:color="auto" w:fill="f9ebe6"/>
                <w:rtl w:val="0"/>
                <w14:textFill>
                  <w14:solidFill>
                    <w14:srgbClr w14:val="993C1D"/>
                  </w14:solidFill>
                </w14:textFill>
              </w:rPr>
              <w:t>Dual-hat: CAIO = CIO</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A</w:t>
            </w:r>
            <w:r>
              <w:rPr>
                <w:outline w:val="0"/>
                <w:color w:val="131313"/>
                <w:sz w:val="26"/>
                <w:szCs w:val="26"/>
                <w:rtl w:val="0"/>
                <w14:textFill>
                  <w14:solidFill>
                    <w14:srgbClr w14:val="141413"/>
                  </w14:solidFill>
                </w14:textFill>
              </w:rPr>
              <w:t xml:space="preserve">mong </w:t>
            </w:r>
            <w:r>
              <w:rPr>
                <w:outline w:val="0"/>
                <w:color w:val="131313"/>
                <w:sz w:val="26"/>
                <w:szCs w:val="26"/>
                <w:rtl w:val="0"/>
                <w:lang w:val="en-US"/>
                <w14:textFill>
                  <w14:solidFill>
                    <w14:srgbClr w14:val="141413"/>
                  </w14:solidFill>
                </w14:textFill>
              </w:rPr>
              <w:t xml:space="preserve">the </w:t>
            </w:r>
            <w:r>
              <w:rPr>
                <w:outline w:val="0"/>
                <w:color w:val="131313"/>
                <w:sz w:val="26"/>
                <w:szCs w:val="26"/>
                <w:rtl w:val="0"/>
                <w:lang w:val="en-US"/>
                <w14:textFill>
                  <w14:solidFill>
                    <w14:srgbClr w14:val="141413"/>
                  </w14:solidFill>
                </w14:textFill>
              </w:rPr>
              <w:t xml:space="preserve">financial regulators </w:t>
            </w:r>
            <w:r>
              <w:rPr>
                <w:outline w:val="0"/>
                <w:color w:val="131313"/>
                <w:sz w:val="26"/>
                <w:szCs w:val="26"/>
                <w:rtl w:val="0"/>
                <w:lang w:val="en-US"/>
                <w14:textFill>
                  <w14:solidFill>
                    <w14:srgbClr w14:val="141413"/>
                  </w14:solidFill>
                </w14:textFill>
              </w:rPr>
              <w:t>who published organizational detail in their AI compliance plans, this is the only example where the</w:t>
            </w:r>
            <w:r>
              <w:rPr>
                <w:outline w:val="0"/>
                <w:color w:val="131313"/>
                <w:sz w:val="26"/>
                <w:szCs w:val="26"/>
                <w:rtl w:val="0"/>
                <w:lang w:val="en-US"/>
                <w14:textFill>
                  <w14:solidFill>
                    <w14:srgbClr w14:val="141413"/>
                  </w14:solidFill>
                </w14:textFill>
              </w:rPr>
              <w:t xml:space="preserve"> CAIO is explicitly assigned to the CIO. CIO Chris Chilbert holds both titles. Reflects CFPB's smaller size and shared resource model with the Small Agency CIO/CISO Councils.</w:t>
            </w:r>
          </w:p>
          <w:p>
            <w:pPr>
              <w:pStyle w:val="Table Style 2"/>
              <w:suppressAutoHyphens w:val="1"/>
              <w:jc w:val="left"/>
            </w:pPr>
            <w:r>
              <w:rPr>
                <w:outline w:val="0"/>
                <w:color w:val="3d3d39"/>
                <w:sz w:val="24"/>
                <w:szCs w:val="24"/>
                <w:rtl w:val="0"/>
                <w:lang w:val="en-US"/>
                <w14:textFill>
                  <w14:solidFill>
                    <w14:srgbClr w14:val="3D3D3A"/>
                  </w14:solidFill>
                </w14:textFill>
              </w:rPr>
              <w:t>Source: CFPB AI Compliance Plan (Sept. 2025)</w:t>
            </w:r>
          </w:p>
        </w:tc>
      </w:tr>
      <w:tr>
        <w:tblPrEx>
          <w:shd w:val="clear" w:color="auto" w:fill="auto"/>
        </w:tblPrEx>
        <w:trPr>
          <w:trHeight w:val="192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0" w:hRule="atLeast"/>
        </w:trPr>
        <w:tc>
          <w:tcPr>
            <w:tcW w:type="dxa" w:w="935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4f3ec"/>
            <w:tcMar>
              <w:top w:type="dxa" w:w="120"/>
              <w:left w:type="dxa" w:w="200"/>
              <w:bottom w:type="dxa" w:w="120"/>
              <w:right w:type="dxa" w:w="200"/>
            </w:tcMar>
            <w:vAlign w:val="top"/>
          </w:tcPr>
          <w:p>
            <w:pPr>
              <w:pStyle w:val="Table Style 2"/>
              <w:suppressAutoHyphens w:val="1"/>
              <w:jc w:val="left"/>
            </w:pPr>
            <w:r>
              <w:rPr>
                <w:rFonts w:ascii="Helvetica Neue" w:hAnsi="Helvetica Neue"/>
                <w:outline w:val="0"/>
                <w:color w:val="3d3d39"/>
                <w:sz w:val="24"/>
                <w:szCs w:val="24"/>
                <w:rtl w:val="0"/>
                <w14:textFill>
                  <w14:solidFill>
                    <w14:srgbClr w14:val="3D3D3A"/>
                  </w14:solidFill>
                </w14:textFill>
              </w:rPr>
              <w:t>BROADER FEDERAL GOVERNMENT PATTERN</w:t>
            </w:r>
          </w:p>
        </w:tc>
      </w:tr>
      <w:tr>
        <w:tblPrEx>
          <w:shd w:val="clear" w:color="auto" w:fill="auto"/>
        </w:tblPrEx>
        <w:trPr>
          <w:trHeight w:val="236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rPr>
                <w:outline w:val="0"/>
                <w:color w:val="131313"/>
                <w:sz w:val="26"/>
                <w:szCs w:val="26"/>
                <w14:textFill>
                  <w14:solidFill>
                    <w14:srgbClr w14:val="141413"/>
                  </w14:solidFill>
                </w14:textFill>
              </w:rPr>
            </w:pPr>
            <w:r>
              <w:rPr>
                <w:outline w:val="0"/>
                <w:color w:val="131313"/>
                <w:sz w:val="26"/>
                <w:szCs w:val="26"/>
                <w:rtl w:val="0"/>
                <w:lang w:val="en-US"/>
                <w14:textFill>
                  <w14:solidFill>
                    <w14:srgbClr w14:val="141413"/>
                  </w14:solidFill>
                </w14:textFill>
              </w:rPr>
              <w:t>Government-wide</w:t>
            </w:r>
          </w:p>
          <w:p>
            <w:pPr>
              <w:pStyle w:val="Table Style 2"/>
              <w:suppressAutoHyphens w:val="1"/>
              <w:jc w:val="left"/>
            </w:pPr>
            <w:r>
              <w:rPr>
                <w:outline w:val="0"/>
                <w:color w:val="3d3d39"/>
                <w:sz w:val="24"/>
                <w:szCs w:val="24"/>
                <w:rtl w:val="0"/>
                <w:lang w:val="en-US"/>
                <w14:textFill>
                  <w14:solidFill>
                    <w14:srgbClr w14:val="3D3D3A"/>
                  </w14:solidFill>
                </w14:textFill>
              </w:rPr>
              <w:t>Nextgov/FCW (2024)</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3b3388"/>
                <w:sz w:val="22"/>
                <w:szCs w:val="22"/>
                <w:shd w:val="clear" w:color="auto" w:fill="edecfe"/>
                <w:rtl w:val="0"/>
                <w14:textFill>
                  <w14:solidFill>
                    <w14:srgbClr w14:val="3C3489"/>
                  </w14:solidFill>
                </w14:textFill>
              </w:rPr>
              <w:t>Mixed</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Agencies took varied approaches: some pursued a dual-hat function where the CDO or CTO assumed CAIO responsibilities; others designated it as a standalone position. No single model was mandated.</w:t>
            </w:r>
          </w:p>
          <w:p>
            <w:pPr>
              <w:pStyle w:val="Table Style 2"/>
              <w:suppressAutoHyphens w:val="1"/>
              <w:jc w:val="left"/>
            </w:pPr>
            <w:r>
              <w:rPr>
                <w:outline w:val="0"/>
                <w:color w:val="3d3d39"/>
                <w:sz w:val="24"/>
                <w:szCs w:val="24"/>
                <w:rtl w:val="0"/>
                <w:lang w:val="en-US"/>
                <w14:textFill>
                  <w14:solidFill>
                    <w14:srgbClr w14:val="3D3D3A"/>
                  </w14:solidFill>
                </w14:textFill>
              </w:rPr>
              <w:t>Source: Nextgov/FCW, "The Rise of the Chief AI Officer" (Oct. 2024)</w:t>
            </w:r>
          </w:p>
        </w:tc>
      </w:tr>
      <w:tr>
        <w:tblPrEx>
          <w:shd w:val="clear" w:color="auto" w:fill="auto"/>
        </w:tblPrEx>
        <w:trPr>
          <w:trHeight w:val="3560" w:hRule="atLeast"/>
        </w:trPr>
        <w:tc>
          <w:tcPr>
            <w:tcW w:type="dxa" w:w="2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rPr>
                <w:outline w:val="0"/>
                <w:color w:val="131313"/>
                <w:sz w:val="26"/>
                <w:szCs w:val="26"/>
                <w14:textFill>
                  <w14:solidFill>
                    <w14:srgbClr w14:val="141413"/>
                  </w14:solidFill>
                </w14:textFill>
              </w:rPr>
            </w:pPr>
            <w:r>
              <w:rPr>
                <w:outline w:val="0"/>
                <w:color w:val="131313"/>
                <w:sz w:val="26"/>
                <w:szCs w:val="26"/>
                <w:rtl w:val="0"/>
                <w:lang w:val="en-US"/>
                <w14:textFill>
                  <w14:solidFill>
                    <w14:srgbClr w14:val="141413"/>
                  </w14:solidFill>
                </w14:textFill>
              </w:rPr>
              <w:t>Federal CDO survey</w:t>
            </w:r>
          </w:p>
          <w:p>
            <w:pPr>
              <w:pStyle w:val="Table Style 2"/>
              <w:suppressAutoHyphens w:val="1"/>
              <w:jc w:val="left"/>
            </w:pPr>
            <w:r>
              <w:rPr>
                <w:outline w:val="0"/>
                <w:color w:val="3d3d39"/>
                <w:sz w:val="24"/>
                <w:szCs w:val="24"/>
                <w:rtl w:val="0"/>
                <w:lang w:val="en-US"/>
                <w14:textFill>
                  <w14:solidFill>
                    <w14:srgbClr w14:val="3D3D3A"/>
                  </w14:solidFill>
                </w14:textFill>
              </w:rPr>
              <w:t>Data Foundation (2025)</w:t>
            </w:r>
          </w:p>
        </w:tc>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pPr>
            <w:r>
              <w:rPr>
                <w:rFonts w:ascii="Helvetica Neue" w:hAnsi="Helvetica Neue"/>
                <w:outline w:val="0"/>
                <w:color w:val="0e6d55"/>
                <w:sz w:val="22"/>
                <w:szCs w:val="22"/>
                <w:shd w:val="clear" w:color="auto" w:fill="e0f4ed"/>
                <w:rtl w:val="0"/>
                <w14:textFill>
                  <w14:solidFill>
                    <w14:srgbClr w14:val="0F6E56"/>
                  </w14:solidFill>
                </w14:textFill>
              </w:rPr>
              <w:t>CDO-dominant</w:t>
            </w:r>
          </w:p>
        </w:tc>
        <w:tc>
          <w:tcPr>
            <w:tcW w:type="dxa" w:w="52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00"/>
              <w:bottom w:type="dxa" w:w="160"/>
              <w:right w:type="dxa" w:w="200"/>
            </w:tcMar>
            <w:vAlign w:val="top"/>
          </w:tcPr>
          <w:p>
            <w:pPr>
              <w:pStyle w:val="Table Style 2"/>
              <w:suppressAutoHyphens w:val="1"/>
              <w:jc w:val="left"/>
              <w:rPr>
                <w:outline w:val="0"/>
                <w:color w:val="3d3d39"/>
                <w:sz w:val="24"/>
                <w:szCs w:val="24"/>
                <w14:textFill>
                  <w14:solidFill>
                    <w14:srgbClr w14:val="3D3D3A"/>
                  </w14:solidFill>
                </w14:textFill>
              </w:rPr>
            </w:pPr>
            <w:r>
              <w:rPr>
                <w:outline w:val="0"/>
                <w:color w:val="131313"/>
                <w:sz w:val="26"/>
                <w:szCs w:val="26"/>
                <w:rtl w:val="0"/>
                <w:lang w:val="en-US"/>
                <w14:textFill>
                  <w14:solidFill>
                    <w14:srgbClr w14:val="141413"/>
                  </w14:solidFill>
                </w14:textFill>
              </w:rPr>
              <w:t xml:space="preserve">30% of all federal CDOs also serve as CAIO </w:t>
            </w:r>
            <w:r>
              <w:rPr>
                <w:outline w:val="0"/>
                <w:color w:val="131313"/>
                <w:sz w:val="26"/>
                <w:szCs w:val="26"/>
                <w:rtl w:val="0"/>
                <w:lang w:val="en-US"/>
                <w14:textFill>
                  <w14:solidFill>
                    <w14:srgbClr w14:val="141413"/>
                  </w14:solidFill>
                </w14:textFill>
              </w:rPr>
              <w:t xml:space="preserve">— </w:t>
            </w:r>
            <w:r>
              <w:rPr>
                <w:outline w:val="0"/>
                <w:color w:val="131313"/>
                <w:sz w:val="26"/>
                <w:szCs w:val="26"/>
                <w:rtl w:val="0"/>
                <w:lang w:val="en-US"/>
                <w14:textFill>
                  <w14:solidFill>
                    <w14:srgbClr w14:val="141413"/>
                  </w14:solidFill>
                </w14:textFill>
              </w:rPr>
              <w:t>the single largest overlap. Nearly all CDOs (96%) collaborate with AI leadership at least weekly. CDO, CIO, and CAIO responsibilities increasingly converge, but CDOs are called out as the most natural home for AI governance given their data mandate. Guidance to clarify authorities across the three roles was the top ask.</w:t>
            </w:r>
          </w:p>
          <w:p>
            <w:pPr>
              <w:pStyle w:val="Table Style 2"/>
              <w:suppressAutoHyphens w:val="1"/>
              <w:jc w:val="left"/>
            </w:pPr>
            <w:r>
              <w:rPr>
                <w:outline w:val="0"/>
                <w:color w:val="3d3d39"/>
                <w:sz w:val="24"/>
                <w:szCs w:val="24"/>
                <w:rtl w:val="0"/>
                <w:lang w:val="en-US"/>
                <w14:textFill>
                  <w14:solidFill>
                    <w14:srgbClr w14:val="3D3D3A"/>
                  </w14:solidFill>
                </w14:textFill>
              </w:rPr>
              <w:t>Source: Data Foundation / Deloitte, Federal CDO Survey (2025)</w:t>
            </w:r>
          </w:p>
        </w:tc>
      </w:tr>
    </w:tbl>
    <w:p>
      <w:pPr>
        <w:pStyle w:val="Default"/>
        <w:suppressAutoHyphens w:val="1"/>
        <w:spacing w:before="0" w:line="240" w:lineRule="auto"/>
        <w:jc w:val="left"/>
        <w:rPr>
          <w:outline w:val="0"/>
          <w:color w:val="3d3d39"/>
          <w14:textFill>
            <w14:solidFill>
              <w14:srgbClr w14:val="3D3D3A"/>
            </w14:solidFill>
          </w14:textFill>
        </w:rPr>
      </w:pPr>
    </w:p>
    <w:p>
      <w:pPr>
        <w:pStyle w:val="Default"/>
        <w:suppressAutoHyphens w:val="1"/>
        <w:spacing w:before="0" w:line="240" w:lineRule="auto"/>
        <w:jc w:val="left"/>
        <w:rPr>
          <w:outline w:val="0"/>
          <w:color w:val="3d3d39"/>
          <w14:textFill>
            <w14:solidFill>
              <w14:srgbClr w14:val="3D3D3A"/>
            </w14:solidFill>
          </w14:textFill>
        </w:rPr>
      </w:pPr>
    </w:p>
    <w:p>
      <w:pPr>
        <w:pStyle w:val="Default"/>
        <w:suppressAutoHyphens w:val="1"/>
        <w:spacing w:before="0" w:line="240" w:lineRule="auto"/>
        <w:jc w:val="left"/>
        <w:rPr>
          <w:outline w:val="0"/>
          <w:color w:val="3d3d39"/>
          <w:sz w:val="22"/>
          <w:szCs w:val="22"/>
          <w14:textFill>
            <w14:solidFill>
              <w14:srgbClr w14:val="3D3D3A"/>
            </w14:solidFill>
          </w14:textFill>
        </w:rPr>
      </w:pPr>
      <w:r>
        <w:rPr>
          <w:outline w:val="0"/>
          <w:color w:val="3d3d39"/>
          <w:sz w:val="22"/>
          <w:szCs w:val="22"/>
          <w:rtl w:val="0"/>
          <w:lang w:val="en-US"/>
          <w14:textFill>
            <w14:solidFill>
              <w14:srgbClr w14:val="3D3D3A"/>
            </w14:solidFill>
          </w14:textFill>
        </w:rPr>
        <w:t xml:space="preserve">Key takeaway: Across both federal regulators and the broader government, the CAIO most commonly sits alongside or under the CDO </w:t>
      </w:r>
      <w:r>
        <w:rPr>
          <w:outline w:val="0"/>
          <w:color w:val="3d3d39"/>
          <w:sz w:val="22"/>
          <w:szCs w:val="22"/>
          <w:rtl w:val="0"/>
          <w:lang w:val="en-US"/>
          <w14:textFill>
            <w14:solidFill>
              <w14:srgbClr w14:val="3D3D3A"/>
            </w14:solidFill>
          </w14:textFill>
        </w:rPr>
        <w:t xml:space="preserve">— </w:t>
      </w:r>
      <w:r>
        <w:rPr>
          <w:outline w:val="0"/>
          <w:color w:val="3d3d39"/>
          <w:sz w:val="22"/>
          <w:szCs w:val="22"/>
          <w:rtl w:val="0"/>
          <w:lang w:val="en-US"/>
          <w14:textFill>
            <w14:solidFill>
              <w14:srgbClr w14:val="3D3D3A"/>
            </w14:solidFill>
          </w14:textFill>
        </w:rPr>
        <w:t>not the CIO. The Data Foundation (2025) found 30% of federal CDOs also serve as CAIO, and CDO</w:t>
      </w:r>
      <w:r>
        <w:rPr>
          <w:outline w:val="0"/>
          <w:color w:val="3d3d39"/>
          <w:sz w:val="22"/>
          <w:szCs w:val="22"/>
          <w:rtl w:val="0"/>
          <w14:textFill>
            <w14:solidFill>
              <w14:srgbClr w14:val="3D3D3A"/>
            </w14:solidFill>
          </w14:textFill>
        </w:rPr>
        <w:t>–</w:t>
      </w:r>
      <w:r>
        <w:rPr>
          <w:outline w:val="0"/>
          <w:color w:val="3d3d39"/>
          <w:sz w:val="22"/>
          <w:szCs w:val="22"/>
          <w:rtl w:val="0"/>
          <w:lang w:val="en-US"/>
          <w14:textFill>
            <w14:solidFill>
              <w14:srgbClr w14:val="3D3D3A"/>
            </w14:solidFill>
          </w14:textFill>
        </w:rPr>
        <w:t xml:space="preserve">CAIO collaboration is nearly universal. The CFPB is the only financial regulator where CAIO was explicitly assigned to the CIO. In the private sector, large banks tend to fuse data and AI into a single senior role (CDAO or Chief Scientist) that reports directly to the CEO or COO </w:t>
      </w:r>
      <w:r>
        <w:rPr>
          <w:outline w:val="0"/>
          <w:color w:val="3d3d39"/>
          <w:sz w:val="22"/>
          <w:szCs w:val="22"/>
          <w:rtl w:val="0"/>
          <w:lang w:val="en-US"/>
          <w14:textFill>
            <w14:solidFill>
              <w14:srgbClr w14:val="3D3D3A"/>
            </w14:solidFill>
          </w14:textFill>
        </w:rPr>
        <w:t xml:space="preserve">— </w:t>
      </w:r>
      <w:r>
        <w:rPr>
          <w:outline w:val="0"/>
          <w:color w:val="3d3d39"/>
          <w:sz w:val="22"/>
          <w:szCs w:val="22"/>
          <w:rtl w:val="0"/>
          <w:lang w:val="en-US"/>
          <w14:textFill>
            <w14:solidFill>
              <w14:srgbClr w14:val="3D3D3A"/>
            </w14:solidFill>
          </w14:textFill>
        </w:rPr>
        <w:t>bypassing both the CIO and a standalone CDO.</w:t>
      </w:r>
    </w:p>
    <w:p>
      <w:pPr>
        <w:pStyle w:val="Default"/>
        <w:suppressAutoHyphens w:val="1"/>
        <w:spacing w:before="0" w:line="240" w:lineRule="auto"/>
        <w:jc w:val="left"/>
        <w:rPr>
          <w:outline w:val="0"/>
          <w:color w:val="3d3d39"/>
          <w:sz w:val="22"/>
          <w:szCs w:val="22"/>
          <w14:textFill>
            <w14:solidFill>
              <w14:srgbClr w14:val="3D3D3A"/>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The CDO</w:t>
      </w:r>
      <w:r>
        <w:rPr>
          <w:rFonts w:ascii="Times Roman" w:hAnsi="Times Roman" w:hint="default"/>
          <w:b w:val="1"/>
          <w:bCs w:val="1"/>
          <w:rtl w:val="0"/>
        </w:rPr>
        <w:t>–</w:t>
      </w:r>
      <w:r>
        <w:rPr>
          <w:rFonts w:ascii="Times Roman" w:hAnsi="Times Roman"/>
          <w:b w:val="1"/>
          <w:bCs w:val="1"/>
          <w:rtl w:val="0"/>
          <w:lang w:val="en-US"/>
        </w:rPr>
        <w:t>CAIO alignment is the dominant pattern.</w:t>
      </w:r>
      <w:r>
        <w:rPr>
          <w:rFonts w:ascii="Times Roman" w:hAnsi="Times Roman"/>
          <w:rtl w:val="0"/>
          <w:lang w:val="en-US"/>
        </w:rPr>
        <w:t xml:space="preserve"> As Nextgov/FCW reported, agencies took varied approaches </w:t>
      </w:r>
      <w:r>
        <w:rPr>
          <w:rFonts w:ascii="Times Roman" w:hAnsi="Times Roman" w:hint="default"/>
          <w:rtl w:val="0"/>
          <w:lang w:val="en-US"/>
        </w:rPr>
        <w:t xml:space="preserve">— </w:t>
      </w:r>
      <w:r>
        <w:rPr>
          <w:rFonts w:ascii="Times Roman" w:hAnsi="Times Roman"/>
          <w:rtl w:val="0"/>
          <w:lang w:val="en-US"/>
        </w:rPr>
        <w:t xml:space="preserve">some pursued a dual-hat function where the CDO or CTO assumed CAIO responsibilities, while others designated a standalone position.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"https://www.nextgov.com/artificial-intelligence/2024/10/rise-chief-ai-officer/400238/"</w:instrText>
      </w:r>
      <w:r>
        <w:rPr>
          <w:rStyle w:val="Hyperlink.0"/>
          <w:rFonts w:ascii="Times Roman" w:cs="Times Roman" w:hAnsi="Times Roman" w:eastAsia="Times Roman"/>
        </w:rPr>
        <w:fldChar w:fldCharType="separate" w:fldLock="0"/>
      </w:r>
      <w:r>
        <w:rPr>
          <w:rStyle w:val="Hyperlink.0"/>
          <w:rFonts w:ascii="Times Roman" w:hAnsi="Times Roman"/>
          <w:rtl w:val="0"/>
        </w:rPr>
        <w:t>Nextgov.com</w:t>
      </w:r>
      <w:r>
        <w:rPr>
          <w:rFonts w:ascii="Times Roman" w:cs="Times Roman" w:hAnsi="Times Roman" w:eastAsia="Times Roman"/>
        </w:rPr>
        <w:fldChar w:fldCharType="end" w:fldLock="0"/>
      </w:r>
      <w:r>
        <w:rPr>
          <w:rFonts w:ascii="Times Roman" w:hAnsi="Times Roman"/>
          <w:rtl w:val="0"/>
          <w:lang w:val="en-US"/>
        </w:rPr>
        <w:t xml:space="preserve"> But when a dual-hat exists, it runs CDO-to-CAIO far more often than CIO-to-CAIO. The Data Foundation's 2025 federal CDO survey found that 30% of CDOs also serve as CAIO, and nearly all CDOs </w:t>
      </w:r>
      <w:r>
        <w:rPr>
          <w:rFonts w:ascii="Times Roman" w:hAnsi="Times Roman" w:hint="default"/>
          <w:rtl w:val="0"/>
          <w:lang w:val="en-US"/>
        </w:rPr>
        <w:t xml:space="preserve">— </w:t>
      </w:r>
      <w:r>
        <w:rPr>
          <w:rFonts w:ascii="Times Roman" w:hAnsi="Times Roman"/>
          <w:rtl w:val="0"/>
        </w:rPr>
        <w:t xml:space="preserve">96% </w:t>
      </w:r>
      <w:r>
        <w:rPr>
          <w:rFonts w:ascii="Times Roman" w:hAnsi="Times Roman" w:hint="default"/>
          <w:rtl w:val="0"/>
          <w:lang w:val="en-US"/>
        </w:rPr>
        <w:t xml:space="preserve">— </w:t>
      </w:r>
      <w:r>
        <w:rPr>
          <w:rFonts w:ascii="Times Roman" w:hAnsi="Times Roman"/>
          <w:rtl w:val="0"/>
          <w:lang w:val="en-US"/>
        </w:rPr>
        <w:t xml:space="preserve">collaborate with AI leadership at least weekly.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"https://datafoundation.org/news/reports/825/825-Navigating-Transition-and-Change-2025-Survey-of-Federal-Chief-Data-Officers"</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Data Foundation</w:t>
      </w:r>
      <w:r>
        <w:rPr>
          <w:rFonts w:ascii="Times Roman" w:cs="Times Roman" w:hAnsi="Times Roman" w:eastAsia="Times Roman"/>
        </w:rPr>
        <w:fldChar w:fldCharType="end" w:fldLock="0"/>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The CFPB is the outlier, not the model.</w:t>
      </w:r>
      <w:r>
        <w:rPr>
          <w:rFonts w:ascii="Times Roman" w:hAnsi="Times Roman"/>
          <w:rtl w:val="0"/>
          <w:lang w:val="en-US"/>
        </w:rPr>
        <w:t xml:space="preserve"> The CFPB explicitly designated its CIO, Chris Chilbert, to also hold the CAIO role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"https://www.consumerfinance.gov/ai/"</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Consumer Financial Protection Bureau</w:t>
      </w:r>
      <w:r>
        <w:rPr>
          <w:rFonts w:ascii="Times Roman" w:cs="Times Roman" w:hAnsi="Times Roman" w:eastAsia="Times Roman"/>
        </w:rPr>
        <w:fldChar w:fldCharType="end" w:fldLock="0"/>
      </w:r>
      <w:r>
        <w:rPr>
          <w:rFonts w:ascii="Times Roman" w:hAnsi="Times Roman" w:hint="default"/>
          <w:rtl w:val="0"/>
          <w:lang w:val="en-US"/>
        </w:rPr>
        <w:t xml:space="preserve"> — </w:t>
      </w:r>
      <w:r>
        <w:rPr>
          <w:rFonts w:ascii="Times Roman" w:hAnsi="Times Roman"/>
          <w:rtl w:val="0"/>
          <w:lang w:val="en-US"/>
        </w:rPr>
        <w:t>a choice that appears to reflect CFPB's smaller size and reliance on shared Small Agency CIO/CISO councils rather than any broad trend.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the CDO connection dominates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gravitational pull toward the CDO (rather than the CIO) is structural: AI cannot function without governed, high-quality data. The 2025 AI &amp; Data Leadership benchmark survey noted that while 47.2% of organizations still see the CDO/CDAO/CAIO as a technology function, more firms are now treating data and AI leadership as a business role, and the CDO/CDAO/CAIO is increasingly a peer to </w:t>
      </w:r>
      <w:r>
        <w:rPr>
          <w:rFonts w:ascii="Times Roman" w:hAnsi="Times Roman" w:hint="default"/>
          <w:rtl w:val="0"/>
          <w:lang w:val="en-US"/>
        </w:rPr>
        <w:t xml:space="preserve">— </w:t>
      </w:r>
      <w:r>
        <w:rPr>
          <w:rFonts w:ascii="Times Roman" w:hAnsi="Times Roman"/>
          <w:rtl w:val="0"/>
          <w:lang w:val="en-US"/>
        </w:rPr>
        <w:t xml:space="preserve">not a subordinate of </w:t>
      </w:r>
      <w:r>
        <w:rPr>
          <w:rFonts w:ascii="Times Roman" w:hAnsi="Times Roman" w:hint="default"/>
          <w:rtl w:val="0"/>
          <w:lang w:val="en-US"/>
        </w:rPr>
        <w:t xml:space="preserve">— </w:t>
      </w:r>
      <w:r>
        <w:rPr>
          <w:rFonts w:ascii="Times Roman" w:hAnsi="Times Roman"/>
          <w:rtl w:val="0"/>
          <w:lang w:val="en-US"/>
        </w:rPr>
        <w:t xml:space="preserve">the CIO.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"https://static1.squarespace.com/static/62adf3ca029a6808a6c5be30/t/67642c0d40b42a7d7e684f49/1734618125933/2025+AI+&amp;+Data+Leadership+Executive+Benchmark+Survey+120624.pdf"</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Squarespace</w:t>
      </w:r>
      <w:r>
        <w:rPr>
          <w:rFonts w:ascii="Times Roman" w:cs="Times Roman" w:hAnsi="Times Roman" w:eastAsia="Times Roman"/>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emerging consensus, particularly in financial services, is that AI leadership should sit </w:t>
      </w:r>
      <w:r>
        <w:rPr>
          <w:rStyle w:val="None"/>
          <w:rFonts w:ascii="Times Roman" w:hAnsi="Times Roman"/>
          <w:b w:val="1"/>
          <w:bCs w:val="1"/>
          <w:rtl w:val="0"/>
          <w:lang w:val="en-US"/>
        </w:rPr>
        <w:t>alongside or within the data function</w:t>
      </w:r>
      <w:r>
        <w:rPr>
          <w:rFonts w:ascii="Times Roman" w:hAnsi="Times Roman"/>
          <w:rtl w:val="0"/>
          <w:lang w:val="en-US"/>
        </w:rPr>
        <w:t xml:space="preserve">, be </w:t>
      </w:r>
      <w:r>
        <w:rPr>
          <w:rStyle w:val="None"/>
          <w:rFonts w:ascii="Times Roman" w:hAnsi="Times Roman"/>
          <w:b w:val="1"/>
          <w:bCs w:val="1"/>
          <w:rtl w:val="0"/>
          <w:lang w:val="en-US"/>
        </w:rPr>
        <w:t>peer to the CIO</w:t>
      </w:r>
      <w:r>
        <w:rPr>
          <w:rFonts w:ascii="Times Roman" w:hAnsi="Times Roman"/>
          <w:rtl w:val="0"/>
          <w:lang w:val="en-US"/>
        </w:rPr>
        <w:t xml:space="preserve"> (not under it), and ideally have </w:t>
      </w:r>
      <w:r>
        <w:rPr>
          <w:rStyle w:val="None"/>
          <w:rFonts w:ascii="Times Roman" w:hAnsi="Times Roman"/>
          <w:b w:val="1"/>
          <w:bCs w:val="1"/>
          <w:rtl w:val="0"/>
          <w:lang w:val="en-US"/>
        </w:rPr>
        <w:t>direct CEO or COO reporting</w:t>
      </w:r>
      <w:r>
        <w:rPr>
          <w:rFonts w:ascii="Times Roman" w:hAnsi="Times Roman"/>
          <w:rtl w:val="0"/>
          <w:lang w:val="en-US"/>
        </w:rPr>
        <w:t xml:space="preserve"> when AI is strategically central to the business. The CIO-owned model is increasingly viewed as the least desirable for organizations where AI is a revenue-driving priority rather than purely a back-office tool.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 are the clickable source links referenced across the tables and analysis: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**Federal Financial Regulators**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FDIC AI Compliance Plan (Sept. 2025): https://www.fdic.gov/artificial-intelligence-ai-compliance-plan.pdf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NCUA AI Compliance Plan (Sept. 2025): https://ncua.gov/ai/ncua-artificial-intelligence-compliance-plan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CFPB AI Compliance Plan (Sept. 2025): https://files.consumerfinance.gov/f/documents/cfpb_ai-compliance-plan_2025-09.pdf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CFPB AI Leadership Page: https://www.consumerfinance.gov/ai/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Federal Reserve AI Compliance Plan (Sept. 2025): https://www.federalreserve.gov/publications/files/compliance-plan-for-omb-memorandum-m-25-21-202509.pdf</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**Broader Federal Government Pattern**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Nextgov/FCW </w:t>
      </w:r>
      <w:r>
        <w:rPr>
          <w:rFonts w:ascii="Times Roman" w:hAnsi="Times Roman" w:hint="default"/>
          <w:rtl w:val="0"/>
          <w:lang w:val="en-US"/>
        </w:rPr>
        <w:t xml:space="preserve">— </w:t>
      </w:r>
      <w:r>
        <w:rPr>
          <w:rFonts w:ascii="Times Roman" w:hAnsi="Times Roman"/>
          <w:rtl w:val="0"/>
          <w:lang w:val="en-US"/>
        </w:rPr>
        <w:t>"The Rise of the Chief AI Officer" (Oct. 2024): https://www.nextgov.com/artificial-intelligence/2024/10/rise-chief-ai-officer/400238/</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 Data Foundation / Deloitte </w:t>
      </w:r>
      <w:r>
        <w:rPr>
          <w:rFonts w:ascii="Times Roman" w:hAnsi="Times Roman" w:hint="default"/>
          <w:rtl w:val="0"/>
          <w:lang w:val="en-US"/>
        </w:rPr>
        <w:t xml:space="preserve">— </w:t>
      </w:r>
      <w:r>
        <w:rPr>
          <w:rFonts w:ascii="Times Roman" w:hAnsi="Times Roman"/>
          <w:rtl w:val="0"/>
          <w:lang w:val="en-US"/>
        </w:rPr>
        <w:t>Federal CDO Survey 2025 (full report): https://datafoundation.org/news/reports/825/825-Navigating-Transition-and-Change-2025-Survey-of-Federal-Chief-Data-Officers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Data Foundation </w:t>
      </w:r>
      <w:r>
        <w:rPr>
          <w:rFonts w:ascii="Times Roman" w:hAnsi="Times Roman" w:hint="default"/>
          <w:rtl w:val="0"/>
          <w:lang w:val="en-US"/>
        </w:rPr>
        <w:t xml:space="preserve">— </w:t>
      </w:r>
      <w:r>
        <w:rPr>
          <w:rFonts w:ascii="Times Roman" w:hAnsi="Times Roman"/>
          <w:rtl w:val="0"/>
          <w:lang w:val="en-US"/>
        </w:rPr>
        <w:t>Key Takeaways blog post: https://datafoundation.org/news/blogs/840/840-Navigating-Transition-and-Change-Key-Takeaways-from-the-2025-Survey-of-Federal-Chief-Data-Officers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xml:space="preserve">- GovCIO Media </w:t>
      </w:r>
      <w:r>
        <w:rPr>
          <w:rFonts w:ascii="Times Roman" w:hAnsi="Times Roman" w:hint="default"/>
          <w:rtl w:val="0"/>
          <w:lang w:val="en-US"/>
        </w:rPr>
        <w:t xml:space="preserve">— </w:t>
      </w:r>
      <w:r>
        <w:rPr>
          <w:rFonts w:ascii="Times Roman" w:hAnsi="Times Roman"/>
          <w:rtl w:val="0"/>
          <w:lang w:val="en-US"/>
        </w:rPr>
        <w:t>Who's in Charge of AI at Top Federal Agencies: https://govciomedia.com/the-caios-leading-responsible-ai-development-across-government/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**Private Sector </w:t>
      </w:r>
      <w:r>
        <w:rPr>
          <w:rFonts w:ascii="Times Roman" w:hAnsi="Times Roman" w:hint="default"/>
          <w:rtl w:val="0"/>
          <w:lang w:val="en-US"/>
        </w:rPr>
        <w:t xml:space="preserve">— </w:t>
      </w:r>
      <w:r>
        <w:rPr>
          <w:rFonts w:ascii="Times Roman" w:hAnsi="Times Roman"/>
          <w:rtl w:val="0"/>
        </w:rPr>
        <w:t>Banks**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JPMorgan Chase </w:t>
      </w:r>
      <w:r>
        <w:rPr>
          <w:rFonts w:ascii="Times Roman" w:hAnsi="Times Roman" w:hint="default"/>
          <w:rtl w:val="0"/>
          <w:lang w:val="en-US"/>
        </w:rPr>
        <w:t xml:space="preserve">— </w:t>
      </w:r>
      <w:r>
        <w:rPr>
          <w:rFonts w:ascii="Times Roman" w:hAnsi="Times Roman"/>
          <w:rtl w:val="0"/>
          <w:lang w:val="en-US"/>
        </w:rPr>
        <w:t>Teresa Heitsenrether leadership bio: https://www.jpmorganchase.com/about/leadership/teresa-heitsenrether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JPMorgan Chase </w:t>
      </w:r>
      <w:r>
        <w:rPr>
          <w:rFonts w:ascii="Times Roman" w:hAnsi="Times Roman" w:hint="default"/>
          <w:rtl w:val="0"/>
          <w:lang w:val="en-US"/>
        </w:rPr>
        <w:t xml:space="preserve">— </w:t>
      </w:r>
      <w:r>
        <w:rPr>
          <w:rFonts w:ascii="Times Roman" w:hAnsi="Times Roman"/>
          <w:rtl w:val="0"/>
          <w:lang w:val="en-US"/>
        </w:rPr>
        <w:t>CDAO appointment (CIO Dive, 2023): https://www.ciodive.com/news/JPMorgan-Chase-data-analytics-AI-adoption/653942/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JPMorgan Chase </w:t>
      </w:r>
      <w:r>
        <w:rPr>
          <w:rFonts w:ascii="Times Roman" w:hAnsi="Times Roman" w:hint="default"/>
          <w:rtl w:val="0"/>
          <w:lang w:val="en-US"/>
        </w:rPr>
        <w:t xml:space="preserve">— </w:t>
      </w:r>
      <w:r>
        <w:rPr>
          <w:rFonts w:ascii="Times Roman" w:hAnsi="Times Roman"/>
          <w:rtl w:val="0"/>
          <w:lang w:val="en-US"/>
        </w:rPr>
        <w:t>American Banker Most Powerful Women profile (Oct. 2025): https://www.americanbanker.com/news/2025-the-most-powerful-women-in-banking-no-8-teresa-heitsenrether-jpmorganchase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Bank of America </w:t>
      </w:r>
      <w:r>
        <w:rPr>
          <w:rFonts w:ascii="Times Roman" w:hAnsi="Times Roman" w:hint="default"/>
          <w:rtl w:val="0"/>
          <w:lang w:val="en-US"/>
        </w:rPr>
        <w:t xml:space="preserve">— </w:t>
      </w:r>
      <w:r>
        <w:rPr>
          <w:rFonts w:ascii="Times Roman" w:hAnsi="Times Roman"/>
          <w:rtl w:val="0"/>
          <w:lang w:val="en-US"/>
        </w:rPr>
        <w:t>CTIO transition (CIO Dive, 2025): https://www.ciodive.com/news/bank-of-america-chief-technology-information-officer-retire/756184/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Bank of America </w:t>
      </w:r>
      <w:r>
        <w:rPr>
          <w:rFonts w:ascii="Times Roman" w:hAnsi="Times Roman" w:hint="default"/>
          <w:rtl w:val="0"/>
          <w:lang w:val="en-US"/>
        </w:rPr>
        <w:t xml:space="preserve">— </w:t>
      </w:r>
      <w:r>
        <w:rPr>
          <w:rFonts w:ascii="Times Roman" w:hAnsi="Times Roman"/>
          <w:rtl w:val="0"/>
          <w:lang w:val="en-US"/>
        </w:rPr>
        <w:t>AI strategy (Fortune, Nov. 2025): https://fortune.com/2025/11/05/bank-of-america-prioritizes-bigger-ai-initiatives-as-annual-spending-on-new-tech-increased-by-44-over-the-past-decade/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 Capital One </w:t>
      </w:r>
      <w:r>
        <w:rPr>
          <w:rFonts w:ascii="Times Roman" w:hAnsi="Times Roman" w:hint="default"/>
          <w:rtl w:val="0"/>
          <w:lang w:val="en-US"/>
        </w:rPr>
        <w:t xml:space="preserve">— </w:t>
      </w:r>
      <w:r>
        <w:rPr>
          <w:rFonts w:ascii="Times Roman" w:hAnsi="Times Roman"/>
          <w:rtl w:val="0"/>
          <w:lang w:val="pt-PT"/>
        </w:rPr>
        <w:t>Introducing Prem Natarajan: https://www.capitalone.com/tech/culture/introducing-prem-natarajan/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 Capital One </w:t>
      </w:r>
      <w:r>
        <w:rPr>
          <w:rFonts w:ascii="Times Roman" w:hAnsi="Times Roman" w:hint="default"/>
          <w:rtl w:val="0"/>
          <w:lang w:val="en-US"/>
        </w:rPr>
        <w:t xml:space="preserve">— </w:t>
      </w:r>
      <w:r>
        <w:rPr>
          <w:rFonts w:ascii="Times Roman" w:hAnsi="Times Roman"/>
          <w:rtl w:val="0"/>
          <w:lang w:val="en-US"/>
        </w:rPr>
        <w:t>AI leadership page: https://www.capitalone.com/tech/ai/</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**Broader Research &amp; Benchmarks**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DataIQ / AI &amp; Data Leadership Executive Benchmark Survey 2025: https://www.dataiq.global/articles/2025-ai-and-data-leadership/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Foundry 2025 State of the CIO </w:t>
      </w:r>
      <w:r>
        <w:rPr>
          <w:rFonts w:ascii="Times Roman" w:hAnsi="Times Roman" w:hint="default"/>
          <w:rtl w:val="0"/>
          <w:lang w:val="en-US"/>
        </w:rPr>
        <w:t xml:space="preserve">— </w:t>
      </w:r>
      <w:r>
        <w:rPr>
          <w:rFonts w:ascii="Times Roman" w:hAnsi="Times Roman"/>
          <w:rtl w:val="0"/>
          <w:lang w:val="en-US"/>
        </w:rPr>
        <w:t>CAIO reporting data (CIO.com): https://www.cio.com/article/3845414/caios-role-reclaims-its-position-from-that-of-cio.html</w:t>
      </w:r>
    </w:p>
    <w:p>
      <w:pPr>
        <w:pStyle w:val="Default"/>
        <w:numPr>
          <w:ilvl w:val="0"/>
          <w:numId w:val="2"/>
        </w:numPr>
        <w:suppressAutoHyphens w:val="1"/>
        <w:spacing w:before="0" w:after="240" w:line="240" w:lineRule="auto"/>
        <w:rPr>
          <w:rFonts w:ascii="Times Roman" w:hAnsi="Times Roman"/>
          <w:lang w:val="en-US"/>
        </w:rPr>
      </w:pPr>
      <w:r>
        <w:rPr>
          <w:rFonts w:ascii="Times Roman" w:hAnsi="Times Roman"/>
          <w:rtl w:val="0"/>
          <w:lang w:val="en-US"/>
        </w:rPr>
        <w:t xml:space="preserve">Anderson Monken (Fed AI Program Office, reporting to CDO):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"https://www.andersonmonken.com/"</w:instrText>
      </w:r>
      <w:r>
        <w:rPr>
          <w:rStyle w:val="Hyperlink.1"/>
          <w:rFonts w:ascii="Times Roman" w:cs="Times Roman" w:hAnsi="Times Roman" w:eastAsia="Times Roman"/>
        </w:rPr>
        <w:fldChar w:fldCharType="separate" w:fldLock="0"/>
      </w:r>
      <w:r>
        <w:rPr>
          <w:rStyle w:val="Hyperlink.1"/>
          <w:rFonts w:ascii="Times Roman" w:hAnsi="Times Roman"/>
          <w:rtl w:val="0"/>
          <w:lang w:val="en-US"/>
        </w:rPr>
        <w:t>https://www.andersonmonken.com/</w:t>
      </w:r>
      <w:r>
        <w:rPr>
          <w:rFonts w:ascii="Times Roman" w:cs="Times Roman" w:hAnsi="Times Roman" w:eastAsia="Times Roman"/>
        </w:rPr>
        <w:fldChar w:fldCharType="end" w:fldLock="0"/>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Now I have a comprehensive picture from primary research sources </w:t>
      </w:r>
      <w:r>
        <w:rPr>
          <w:rFonts w:ascii="Times Roman" w:hAnsi="Times Roman" w:hint="default"/>
          <w:rtl w:val="0"/>
          <w:lang w:val="en-US"/>
        </w:rPr>
        <w:t xml:space="preserve">— </w:t>
      </w:r>
      <w:r>
        <w:rPr>
          <w:rFonts w:ascii="Times Roman" w:hAnsi="Times Roman"/>
          <w:rtl w:val="0"/>
          <w:lang w:val="en-US"/>
        </w:rPr>
        <w:t>Gartner, McKinsey, Harvard Business Review, DataIQ, Boyden, and the regulatory bodies. Let me write this up clearly with all references.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Recommended Best Practice for AI Organizational Structure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research converges around a clear framework, even if there is no single universal template. Here are the core principles, with sources: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1. AI leadership must have CEO-level visibility and mandate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most consistent finding across Gartner, McKinsey, and Boyden is that AI success is primarily a leadership challenge, not a technology one. Gartner found that only 37% of low-maturity organizations have a dedicated AI leader, compared to 91% of high-maturity organizations </w:t>
      </w:r>
      <w:r>
        <w:rPr>
          <w:rFonts w:ascii="Times Roman" w:hAnsi="Times Roman" w:hint="default"/>
          <w:rtl w:val="0"/>
          <w:lang w:val="en-US"/>
        </w:rPr>
        <w:t xml:space="preserve">— </w:t>
      </w:r>
      <w:r>
        <w:rPr>
          <w:rFonts w:ascii="Times Roman" w:hAnsi="Times Roman"/>
          <w:rtl w:val="0"/>
          <w:lang w:val="en-US"/>
        </w:rPr>
        <w:t xml:space="preserve">making a dedicated AI leader the single clearest differentiator between organizations that scale AI and those that don't. Gartner separately forecasts that by 2025, 35% of large organizations will have a CAIO reporting to the CEO or COO </w:t>
      </w:r>
      <w:r>
        <w:rPr>
          <w:rFonts w:ascii="Times Roman" w:hAnsi="Times Roman" w:hint="default"/>
          <w:rtl w:val="0"/>
          <w:lang w:val="en-US"/>
        </w:rPr>
        <w:t xml:space="preserve">— </w:t>
      </w:r>
      <w:r>
        <w:rPr>
          <w:rFonts w:ascii="Times Roman" w:hAnsi="Times Roman"/>
          <w:rtl w:val="0"/>
          <w:lang w:val="en-US"/>
        </w:rPr>
        <w:t>and Boyden's analysis identifies strategic alignment, capability development, and responsible AI governance as the three essential pillars of an AI-native executive structure.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Gartner's research shows that where the AI leader reports is crucial: while many report to the CIO or CTO, forward-thinking organizations align reporting to where AI has the greatest impact </w:t>
      </w:r>
      <w:r>
        <w:rPr>
          <w:rFonts w:ascii="Times Roman" w:hAnsi="Times Roman" w:hint="default"/>
          <w:rtl w:val="0"/>
          <w:lang w:val="en-US"/>
        </w:rPr>
        <w:t xml:space="preserve">— </w:t>
      </w:r>
      <w:r>
        <w:rPr>
          <w:rFonts w:ascii="Times Roman" w:hAnsi="Times Roman"/>
          <w:rtl w:val="0"/>
          <w:lang w:val="en-US"/>
        </w:rPr>
        <w:t xml:space="preserve">such as the chief risk officer in financial services or directly to the CEO </w:t>
      </w:r>
      <w:r>
        <w:rPr>
          <w:rFonts w:ascii="Times Roman" w:hAnsi="Times Roman" w:hint="default"/>
          <w:rtl w:val="0"/>
          <w:lang w:val="en-US"/>
        </w:rPr>
        <w:t xml:space="preserve">— </w:t>
      </w:r>
      <w:r>
        <w:rPr>
          <w:rFonts w:ascii="Times Roman" w:hAnsi="Times Roman"/>
          <w:rtl w:val="0"/>
          <w:lang w:val="en-US"/>
        </w:rPr>
        <w:t>and organizations with dedicated AI leaders see results faster and are twice as likely to achieve strong business outcomes.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**Reference:** https://www.gartner.com/en/articles/ai-leader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2. The CAIO should not sit under the CIO </w:t>
      </w:r>
      <w:r>
        <w:rPr>
          <w:rFonts w:ascii="Times Roman" w:hAnsi="Times Roman" w:hint="default"/>
          <w:rtl w:val="0"/>
          <w:lang w:val="en-US"/>
        </w:rPr>
        <w:t xml:space="preserve">— </w:t>
      </w:r>
      <w:r>
        <w:rPr>
          <w:rFonts w:ascii="Times Roman" w:hAnsi="Times Roman"/>
          <w:rtl w:val="0"/>
          <w:lang w:val="en-US"/>
        </w:rPr>
        <w:t>data and AI belong together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Harvard Business Review's analysis concludes that a combined CDAIO (Chief Data, Analytics, and AI Officer) will best prepare organizations for AI going forward, with a clear mandate that includes owning AI strategy, ensuring data readiness, building the AI tech stack, and generating ROI </w:t>
      </w:r>
      <w:r>
        <w:rPr>
          <w:rFonts w:ascii="Times Roman" w:hAnsi="Times Roman" w:hint="default"/>
          <w:rtl w:val="0"/>
          <w:lang w:val="en-US"/>
        </w:rPr>
        <w:t xml:space="preserve">— </w:t>
      </w:r>
      <w:r>
        <w:rPr>
          <w:rFonts w:ascii="Times Roman" w:hAnsi="Times Roman"/>
          <w:rtl w:val="0"/>
          <w:lang w:val="en-US"/>
        </w:rPr>
        <w:t>and given the emphasis on business value creation, in most cases CDAIOs should be positioned closer to business functions than to technology operations.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separate HBR analysis of chief data and AI officers found that too many are set up to fail by poor alignment, lack of trust, insufficient focus on business opportunities, and unclear internal understanding of their role.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HBR also cautions that appointing a single CAIO often fails because the role is too broad and misaligned with organizational needs </w:t>
      </w:r>
      <w:r>
        <w:rPr>
          <w:rFonts w:ascii="Times Roman" w:hAnsi="Times Roman" w:hint="default"/>
          <w:rtl w:val="0"/>
          <w:lang w:val="en-US"/>
        </w:rPr>
        <w:t xml:space="preserve">— </w:t>
      </w:r>
      <w:r>
        <w:rPr>
          <w:rFonts w:ascii="Times Roman" w:hAnsi="Times Roman"/>
          <w:rtl w:val="0"/>
          <w:lang w:val="en-US"/>
        </w:rPr>
        <w:t>pointing to distributed AI leadership across business units as a necessary complement.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**References:**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https://hbr.org/2025/12/why-your-company-needs-a-chief-data-analytics-and-ai-officer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https://hbr.org/2023/06/why-chief-data-and-ai-officers-are-set-up-to-fail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https://hbr.org/2025/08/your-ai-strategy-needs-more-than-a-single-leader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3. McKinsey: AI success is about organizational rewiring, not title structure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McKinsey's 2025 State of AI survey of nearly 2,000 organizations found that the practices most strongly correlated with AI value include embedding AI into business processes, redesigning workflows, tracking KPIs, robust talent strategies, and strong data infrastructure </w:t>
      </w:r>
      <w:r>
        <w:rPr>
          <w:rFonts w:ascii="Times Roman" w:hAnsi="Times Roman" w:hint="default"/>
          <w:rtl w:val="0"/>
          <w:lang w:val="en-US"/>
        </w:rPr>
        <w:t xml:space="preserve">— </w:t>
      </w:r>
      <w:r>
        <w:rPr>
          <w:rFonts w:ascii="Times Roman" w:hAnsi="Times Roman"/>
          <w:rtl w:val="0"/>
          <w:lang w:val="en-US"/>
        </w:rPr>
        <w:t>and high performers are more than three times more likely to aim for transformative organizational change rather than incremental efficiency gains.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McKinsey's data leaders' guide to scaling gen AI specifically recommends that chief data officers lead the creation of gen AI operating models, bringing together technology, people, and processes </w:t>
      </w:r>
      <w:r>
        <w:rPr>
          <w:rFonts w:ascii="Times Roman" w:hAnsi="Times Roman" w:hint="default"/>
          <w:rtl w:val="0"/>
          <w:lang w:val="en-US"/>
        </w:rPr>
        <w:t xml:space="preserve">— </w:t>
      </w:r>
      <w:r>
        <w:rPr>
          <w:rFonts w:ascii="Times Roman" w:hAnsi="Times Roman"/>
          <w:rtl w:val="0"/>
          <w:lang w:val="en-US"/>
        </w:rPr>
        <w:t>and highlights a federated model where a central chief data and AI officer sets strategy while business units execute, as the most scalable approach.</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**References:**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https://www.mckinsey.com/capabilities/quantumblack/our-insights/the-state-of-ai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https://www.mckinsey.com/capabilities/mckinsey-digital/our-insights/a-data-leaders-operating-guide-to-scaling-gen-ai</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4. The hub-and-spoke (federated) operating model outperforms centralized or decentralized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Research from multiple sources confirms that a dedicated CAIO reporting to the CEO drives cross-functional AI strategy and business alignment, while embedding AI solely under the CIO risks treating it as an IT project </w:t>
      </w:r>
      <w:r>
        <w:rPr>
          <w:rFonts w:ascii="Times Roman" w:hAnsi="Times Roman" w:hint="default"/>
          <w:rtl w:val="0"/>
          <w:lang w:val="en-US"/>
        </w:rPr>
        <w:t xml:space="preserve">— </w:t>
      </w:r>
      <w:r>
        <w:rPr>
          <w:rFonts w:ascii="Times Roman" w:hAnsi="Times Roman"/>
          <w:rtl w:val="0"/>
          <w:lang w:val="en-US"/>
        </w:rPr>
        <w:t>limiting its strategic, innovative scope and causing AI to compete with operational IT priorities.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larger enterprises, best practice is described as a pyramid: the CAIO works with the CEO on strategy and direction, CDOs and VPs of engineering translate strategy into systems and roadmaps, and AI leads execute on the ground </w:t>
      </w:r>
      <w:r>
        <w:rPr>
          <w:rFonts w:ascii="Times Roman" w:hAnsi="Times Roman" w:hint="default"/>
          <w:rtl w:val="0"/>
          <w:lang w:val="en-US"/>
        </w:rPr>
        <w:t xml:space="preserve">— </w:t>
      </w:r>
      <w:r>
        <w:rPr>
          <w:rFonts w:ascii="Times Roman" w:hAnsi="Times Roman"/>
          <w:rtl w:val="0"/>
          <w:lang w:val="en-US"/>
        </w:rPr>
        <w:t>and without role separation and clear ownership, large organizations struggle to scale AI effectively. This is particularly emphasized for regulated industries like banking, insurance, and healthcare.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**Reference:** https://drive.starcio.com/2025/09/chief-ai-officer-caio-or-cio-evolution/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5. Data readiness is prerequisite </w:t>
      </w:r>
      <w:r>
        <w:rPr>
          <w:rFonts w:ascii="Times Roman" w:hAnsi="Times Roman" w:hint="default"/>
          <w:rtl w:val="0"/>
          <w:lang w:val="en-US"/>
        </w:rPr>
        <w:t xml:space="preserve">— </w:t>
      </w:r>
      <w:r>
        <w:rPr>
          <w:rFonts w:ascii="Times Roman" w:hAnsi="Times Roman"/>
          <w:rtl w:val="0"/>
          <w:lang w:val="en-US"/>
        </w:rPr>
        <w:t>CDO and CAIO must be structurally linked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Harvard Business Review's data readiness research found that 91% of organizations agree a reliable data foundation is essential for successful AI adoption, yet only 55% say their organization's data foundation is actually reliable </w:t>
      </w:r>
      <w:r>
        <w:rPr>
          <w:rFonts w:ascii="Times Roman" w:hAnsi="Times Roman" w:hint="default"/>
          <w:rtl w:val="0"/>
          <w:lang w:val="en-US"/>
        </w:rPr>
        <w:t xml:space="preserve">— </w:t>
      </w:r>
      <w:r>
        <w:rPr>
          <w:rFonts w:ascii="Times Roman" w:hAnsi="Times Roman"/>
          <w:rtl w:val="0"/>
          <w:lang w:val="en-US"/>
        </w:rPr>
        <w:t>making the structural linkage between data governance (CDO) and AI strategy (CAIO) a foundational requirement, not an optional coordination mechanism.</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Data &amp; AI Leadership Exchange 2025 benchmark survey of 125 Fortune 1000 firms found that data &amp; AI is a top organizational priority for 90.5% of companies, with more data &amp; AI executives now focusing on delivering business value through growth and innovation and reporting to business leaders rather than technology functions.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**References:**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https://profisee.com/harvard-business-review-data-readiness-for-the-ai-revolution/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https://static1.squarespace.com/static/62adf3ca029a6808a6c5be30/t/67642c0d40b42a7d7e684f49/1734618125933/2025+AI+%26+Data+Leadership+Executive+Benchmark+Survey+120624.pdf</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6. For financial services specifically: CRO alignment is a differentiator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Gartner specifically calls out financial services as a sector where aligning the AI leader to the chief risk officer </w:t>
      </w:r>
      <w:r>
        <w:rPr>
          <w:rFonts w:ascii="Times Roman" w:hAnsi="Times Roman" w:hint="default"/>
          <w:rtl w:val="0"/>
          <w:lang w:val="en-US"/>
        </w:rPr>
        <w:t xml:space="preserve">— </w:t>
      </w:r>
      <w:r>
        <w:rPr>
          <w:rFonts w:ascii="Times Roman" w:hAnsi="Times Roman"/>
          <w:rtl w:val="0"/>
          <w:lang w:val="en-US"/>
        </w:rPr>
        <w:t xml:space="preserve">rather than the CIO </w:t>
      </w:r>
      <w:r>
        <w:rPr>
          <w:rFonts w:ascii="Times Roman" w:hAnsi="Times Roman" w:hint="default"/>
          <w:rtl w:val="0"/>
          <w:lang w:val="en-US"/>
        </w:rPr>
        <w:t xml:space="preserve">— </w:t>
      </w:r>
      <w:r>
        <w:rPr>
          <w:rFonts w:ascii="Times Roman" w:hAnsi="Times Roman"/>
          <w:rtl w:val="0"/>
          <w:lang w:val="en-US"/>
        </w:rPr>
        <w:t>can drive the most influence and results, given the regulatory and model risk environment banks operate in. This makes the CAIO</w:t>
      </w:r>
      <w:r>
        <w:rPr>
          <w:rFonts w:ascii="Times Roman" w:hAnsi="Times Roman" w:hint="default"/>
          <w:rtl w:val="0"/>
        </w:rPr>
        <w:t>–</w:t>
      </w:r>
      <w:r>
        <w:rPr>
          <w:rFonts w:ascii="Times Roman" w:hAnsi="Times Roman"/>
          <w:rtl w:val="0"/>
          <w:lang w:val="en-US"/>
        </w:rPr>
        <w:t>CRO relationship a distinctive feature of financial sector best practice, layered on top of the CAIO</w:t>
      </w:r>
      <w:r>
        <w:rPr>
          <w:rFonts w:ascii="Times Roman" w:hAnsi="Times Roman" w:hint="default"/>
          <w:rtl w:val="0"/>
        </w:rPr>
        <w:t>–</w:t>
      </w:r>
      <w:r>
        <w:rPr>
          <w:rFonts w:ascii="Times Roman" w:hAnsi="Times Roman"/>
          <w:rtl w:val="0"/>
          <w:lang w:val="en-US"/>
        </w:rPr>
        <w:t>CDO partnership.</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Summary of best practice structure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 Layer | Role | Reporting line | Key relationships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Strategic | CAIO or CDAIO | CEO or COO | Board, CRO (financial services)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Data foundation | CDO | Co-equal or fused with CAIO | CAIO, CIO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Technology infrastructure | CIO | CEO or COO | CAIO, CDO, CISO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Risk &amp; governance | CRO / CISO | CEO | CAIO, CDO, Legal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Business execution | Federated AI leads | Business unit heads | CAIO (dotted line) |</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Times Roman" w:hAnsi="Times Roman"/>
          <w:rtl w:val="0"/>
          <w:lang w:val="en-US"/>
        </w:rPr>
        <w:t xml:space="preserve">The consensus across Gartner, McKinsey, and HBR is that **the CAIO or CDAIO should sit at peer-to-CIO or above level, report to the CEO or COO, be structurally linked to the CDO function (or merged with it), and operate a federated hub-and-spoke model** </w:t>
      </w:r>
      <w:r>
        <w:rPr>
          <w:rFonts w:ascii="Times Roman" w:hAnsi="Times Roman" w:hint="default"/>
          <w:rtl w:val="0"/>
          <w:lang w:val="en-US"/>
        </w:rPr>
        <w:t xml:space="preserve">— </w:t>
      </w:r>
      <w:r>
        <w:rPr>
          <w:rFonts w:ascii="Times Roman" w:hAnsi="Times Roman"/>
          <w:rtl w:val="0"/>
          <w:lang w:val="en-US"/>
        </w:rPr>
        <w:t>not a centralized IT-owned structure. The CFPB's CIO-owns-CAIO model is explicitly what the research warns against for organizations where AI is a strategic priority.</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numbering" w:styleId="Dash">
    <w:name w:val="Dash"/>
    <w:pPr>
      <w:numPr>
        <w:numId w:val="1"/>
      </w:numPr>
    </w:p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