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F3864" w:sz="4"/>
              <w:right w:val="none" w:color="FFFFFF" w:sz="0"/>
            </w:tcBorders>
            <w:shd w:fill="1F3864" w:val="clear"/>
            <w:tcMar>
              <w:top w:type="dxa" w:w="180"/>
              <w:left w:type="dxa" w:w="200"/>
              <w:bottom w:type="dxa" w:w="180"/>
              <w:right w:type="dxa" w:w="200"/>
            </w:tcMar>
          </w:tcPr>
          <w:p>
            <w:pPr>
              <w:spacing w:after="60" w:before="60"/>
              <w:jc w:val="center"/>
            </w:pPr>
            <w:r>
              <w:rPr>
                <w:rFonts w:ascii="Arial" w:cs="Arial" w:eastAsia="Arial" w:hAnsi="Arial"/>
                <w:b/>
                <w:bCs/>
                <w:i w:val="false"/>
                <w:iCs w:val="false"/>
                <w:color w:val="FFFFFF"/>
                <w:sz w:val="32"/>
                <w:szCs w:val="32"/>
              </w:rPr>
              <w:t xml:space="preserve">ODAE  •  Genie Space Evaluation — Worked Examples</w:t>
            </w:r>
          </w:p>
          <w:p>
            <w:pPr>
              <w:spacing w:after="60" w:before="40"/>
              <w:jc w:val="center"/>
            </w:pPr>
            <w:r>
              <w:rPr>
                <w:rFonts w:ascii="Arial" w:cs="Arial" w:eastAsia="Arial" w:hAnsi="Arial"/>
                <w:b w:val="false"/>
                <w:bCs w:val="false"/>
                <w:i/>
                <w:iCs/>
                <w:color w:val="BDD7EE"/>
                <w:sz w:val="20"/>
                <w:szCs w:val="20"/>
              </w:rPr>
              <w:t xml:space="preserve">Layer 2 and Layer 3 Scoring Examples  |  Credit Portfolio Space  |  May 2026</w:t>
            </w:r>
          </w:p>
        </w:tc>
      </w:tr>
    </w:tbl>
    <w:p>
      <w:pPr>
        <w:spacing w:after="120" w:before="0"/>
      </w:pPr>
    </w:p>
    <w:p>
      <w:pPr>
        <w:spacing w:after="100" w:before="200"/>
      </w:pPr>
      <w:r>
        <w:rPr>
          <w:rFonts w:ascii="Arial" w:cs="Arial" w:eastAsia="Arial" w:hAnsi="Arial"/>
          <w:b/>
          <w:bCs/>
          <w:i w:val="false"/>
          <w:iCs w:val="false"/>
          <w:color w:val="1F3864"/>
          <w:sz w:val="28"/>
          <w:szCs w:val="28"/>
        </w:rPr>
        <w:t xml:space="preserve">Purpose of This Document</w:t>
      </w:r>
    </w:p>
    <w:p>
      <w:pPr>
        <w:spacing w:after="60" w:before="60"/>
        <w:jc w:val="left"/>
      </w:pPr>
      <w:r>
        <w:rPr>
          <w:rFonts w:ascii="Arial" w:cs="Arial" w:eastAsia="Arial" w:hAnsi="Arial"/>
          <w:b w:val="false"/>
          <w:bCs w:val="false"/>
          <w:i w:val="false"/>
          <w:iCs w:val="false"/>
          <w:color w:val="000000"/>
          <w:sz w:val="22"/>
          <w:szCs w:val="22"/>
        </w:rPr>
        <w:t xml:space="preserve">This document provides two complete worked examples showing how Layer 2 and Layer 3 evaluation scoring works in practice. Both examples use the Credit Portfolio Space — a Medium risk Genie Space that answers questions about loan portfolios, credit concentrations, and borrower segment summaries.</w:t>
      </w:r>
    </w:p>
    <w:p>
      <w:pPr>
        <w:spacing w:after="60" w:before="60"/>
        <w:jc w:val="left"/>
      </w:pPr>
      <w:r>
        <w:rPr>
          <w:rFonts w:ascii="Arial" w:cs="Arial" w:eastAsia="Arial" w:hAnsi="Arial"/>
          <w:b/>
          <w:bCs/>
          <w:i w:val="false"/>
          <w:iCs w:val="false"/>
          <w:color w:val="000000"/>
          <w:sz w:val="22"/>
          <w:szCs w:val="22"/>
        </w:rPr>
        <w:t xml:space="preserve">Example 1 </w:t>
      </w:r>
      <w:r>
        <w:rPr>
          <w:rFonts w:ascii="Arial" w:cs="Arial" w:eastAsia="Arial" w:hAnsi="Arial"/>
          <w:b w:val="false"/>
          <w:bCs w:val="false"/>
          <w:i w:val="false"/>
          <w:iCs w:val="false"/>
          <w:color w:val="000000"/>
          <w:sz w:val="22"/>
          <w:szCs w:val="22"/>
        </w:rPr>
        <w:t xml:space="preserve">shows a space that fails at Layer 2 and does not proceed to Layer 3.</w:t>
      </w:r>
    </w:p>
    <w:p>
      <w:pPr>
        <w:spacing w:after="60" w:before="60"/>
        <w:jc w:val="left"/>
      </w:pPr>
      <w:r>
        <w:rPr>
          <w:rFonts w:ascii="Arial" w:cs="Arial" w:eastAsia="Arial" w:hAnsi="Arial"/>
          <w:b/>
          <w:bCs/>
          <w:i w:val="false"/>
          <w:iCs w:val="false"/>
          <w:color w:val="000000"/>
          <w:sz w:val="22"/>
          <w:szCs w:val="22"/>
        </w:rPr>
        <w:t xml:space="preserve">Example 2 </w:t>
      </w:r>
      <w:r>
        <w:rPr>
          <w:rFonts w:ascii="Arial" w:cs="Arial" w:eastAsia="Arial" w:hAnsi="Arial"/>
          <w:b w:val="false"/>
          <w:bCs w:val="false"/>
          <w:i w:val="false"/>
          <w:iCs w:val="false"/>
          <w:color w:val="000000"/>
          <w:sz w:val="22"/>
          <w:szCs w:val="22"/>
        </w:rPr>
        <w:t xml:space="preserve">shows a space that passes both Layer 2 and Layer 3 and proceeds to staged deployment.</w:t>
      </w:r>
    </w:p>
    <w:p>
      <w:pPr>
        <w:spacing w:after="60" w:before="60"/>
        <w:jc w:val="left"/>
      </w:pPr>
      <w:r>
        <w:rPr>
          <w:rFonts w:ascii="Arial" w:cs="Arial" w:eastAsia="Arial" w:hAnsi="Arial"/>
          <w:b w:val="false"/>
          <w:bCs w:val="false"/>
          <w:i/>
          <w:iCs/>
          <w:color w:val="000000"/>
          <w:sz w:val="22"/>
          <w:szCs w:val="22"/>
        </w:rPr>
        <w:t xml:space="preserve">These examples are for developer and reviewer training only. All scores, questions, and rationale are illustrative.</w:t>
      </w:r>
    </w:p>
    <w:p>
      <w:pPr>
        <w:spacing w:after="100" w:before="0"/>
      </w:pPr>
    </w:p>
    <w:p>
      <w:pPr>
        <w:spacing w:after="100" w:before="200"/>
      </w:pPr>
      <w:r>
        <w:rPr>
          <w:rFonts w:ascii="Arial" w:cs="Arial" w:eastAsia="Arial" w:hAnsi="Arial"/>
          <w:b/>
          <w:bCs/>
          <w:i w:val="false"/>
          <w:iCs w:val="false"/>
          <w:color w:val="1F3864"/>
          <w:sz w:val="28"/>
          <w:szCs w:val="28"/>
        </w:rPr>
        <w:t xml:space="preserve">Space Context: Credit Portfolio Space (Medium Risk)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Parameter</w:t>
            </w:r>
          </w:p>
        </w:tc>
        <w:tc>
          <w:tcPr>
            <w:tcW w:type="dxa" w:w="70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Detail</w:t>
            </w:r>
          </w:p>
        </w:tc>
      </w:tr>
      <w:tr>
        <w:tc>
          <w:tcPr>
            <w:tcW w:type="dxa" w:w="2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Space name</w:t>
            </w:r>
          </w:p>
        </w:tc>
        <w:tc>
          <w:tcPr>
            <w:tcW w:type="dxa" w:w="70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Credit Portfolio Space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Risk tier</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Medium — outputs inform credit portfolio decisions reviewed by managers</w:t>
            </w:r>
          </w:p>
        </w:tc>
      </w:tr>
      <w:tr>
        <w:tc>
          <w:tcPr>
            <w:tcW w:type="dxa" w:w="2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Domain</w:t>
            </w:r>
          </w:p>
        </w:tc>
        <w:tc>
          <w:tcPr>
            <w:tcW w:type="dxa" w:w="70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Loan portfolio summary, credit concentration, borrower segment analysis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1 benchmark set</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40 questions with SQL answers</w:t>
            </w:r>
          </w:p>
        </w:tc>
      </w:tr>
      <w:tr>
        <w:tc>
          <w:tcPr>
            <w:tcW w:type="dxa" w:w="2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2 sample</w:t>
            </w:r>
          </w:p>
        </w:tc>
        <w:tc>
          <w:tcPr>
            <w:tcW w:type="dxa" w:w="70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25 question-and-result-set pairs, stratified across Good and Bad Layer 1 results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2 reviewers</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 domain SMEs (credit analysts) scoring independently offline</w:t>
            </w:r>
          </w:p>
        </w:tc>
      </w:tr>
      <w:tr>
        <w:tc>
          <w:tcPr>
            <w:tcW w:type="dxa" w:w="2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3 testers</w:t>
            </w:r>
          </w:p>
        </w:tc>
        <w:tc>
          <w:tcPr>
            <w:tcW w:type="dxa" w:w="70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business users (portfolio managers, credit officers)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3 task list</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18 questions drawn from Layer 1 benchmark set</w:t>
            </w:r>
          </w:p>
        </w:tc>
      </w:tr>
    </w:tbl>
    <w:p>
      <w:pPr>
        <w:spacing w:after="80" w:before="0"/>
      </w:pPr>
    </w:p>
    <w:p>
      <w:pPr>
        <w:spacing w:after="80" w:before="160"/>
      </w:pPr>
      <w:r>
        <w:rPr>
          <w:rFonts w:ascii="Arial" w:cs="Arial" w:eastAsia="Arial" w:hAnsi="Arial"/>
          <w:b/>
          <w:bCs/>
          <w:i w:val="false"/>
          <w:iCs w:val="false"/>
          <w:color w:val="2E74B5"/>
          <w:sz w:val="24"/>
          <w:szCs w:val="24"/>
        </w:rPr>
        <w:t xml:space="preserve">How the Scoring Gate Works</w:t>
      </w:r>
    </w:p>
    <w:p>
      <w:pPr>
        <w:spacing w:after="60" w:before="60"/>
        <w:jc w:val="left"/>
      </w:pPr>
      <w:r>
        <w:rPr>
          <w:rFonts w:ascii="Arial" w:cs="Arial" w:eastAsia="Arial" w:hAnsi="Arial"/>
          <w:b w:val="false"/>
          <w:bCs w:val="false"/>
          <w:i w:val="false"/>
          <w:iCs w:val="false"/>
          <w:color w:val="000000"/>
          <w:sz w:val="22"/>
          <w:szCs w:val="22"/>
        </w:rPr>
        <w:t xml:space="preserve">Each dimension is evaluated independently against a percentage threshold. The threshold is the minimum percentage of scored responses that must reach the floor score for that dimension at the assigned risk tier. No composite or average score is calculated — every dimension must clear its own threshold independently.</w:t>
      </w:r>
    </w:p>
    <w:p>
      <w:pPr>
        <w:spacing w:after="60" w:before="60"/>
        <w:jc w:val="left"/>
      </w:pPr>
      <w:r>
        <w:rPr>
          <w:rFonts w:ascii="Arial" w:cs="Arial" w:eastAsia="Arial" w:hAnsi="Arial"/>
          <w:b/>
          <w:bCs/>
          <w:i w:val="false"/>
          <w:iCs w:val="false"/>
          <w:color w:val="000000"/>
          <w:sz w:val="22"/>
          <w:szCs w:val="22"/>
        </w:rPr>
        <w:t xml:space="preserve">Important: </w:t>
      </w:r>
      <w:r>
        <w:rPr>
          <w:rFonts w:ascii="Arial" w:cs="Arial" w:eastAsia="Arial" w:hAnsi="Arial"/>
          <w:b w:val="false"/>
          <w:bCs w:val="false"/>
          <w:i w:val="false"/>
          <w:iCs w:val="false"/>
          <w:color w:val="000000"/>
          <w:sz w:val="22"/>
          <w:szCs w:val="22"/>
        </w:rPr>
        <w:t xml:space="preserve">A space that fails any single dimension threshold is disqualified, regardless of how well it performed on all other dimensions. There is no score that can offset a threshold failure.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000000"/>
                <w:sz w:val="22"/>
                <w:szCs w:val="22"/>
              </w:rPr>
              <w:t xml:space="preserve">Medium Risk Thresholds applied in these examples:</w:t>
            </w:r>
          </w:p>
          <w:p>
            <w:pPr>
              <w:spacing w:after="40" w:before="40"/>
              <w:jc w:val="left"/>
            </w:pPr>
            <w:r>
              <w:rPr>
                <w:rFonts w:ascii="Arial" w:cs="Arial" w:eastAsia="Arial" w:hAnsi="Arial"/>
                <w:b w:val="false"/>
                <w:bCs w:val="false"/>
                <w:i w:val="false"/>
                <w:iCs w:val="false"/>
                <w:color w:val="000000"/>
                <w:sz w:val="22"/>
                <w:szCs w:val="22"/>
              </w:rPr>
              <w:t xml:space="preserve">Layer 2 — SME Review:  SQL Correctness ≥85% score 4+  |  Result-Set Completeness ≥80% score 4+  |  Data Value Accuracy ≥85% score 4+  |  Policy &amp; Compliance: zero FAILs</w:t>
            </w:r>
          </w:p>
          <w:p>
            <w:pPr>
              <w:spacing w:after="40" w:before="40"/>
              <w:jc w:val="left"/>
            </w:pPr>
            <w:r>
              <w:rPr>
                <w:rFonts w:ascii="Arial" w:cs="Arial" w:eastAsia="Arial" w:hAnsi="Arial"/>
                <w:b w:val="false"/>
                <w:bCs w:val="false"/>
                <w:i w:val="false"/>
                <w:iCs w:val="false"/>
                <w:color w:val="000000"/>
                <w:sz w:val="22"/>
                <w:szCs w:val="22"/>
              </w:rPr>
              <w:t xml:space="preserve">Layer 3 — Business User Pilot:  Task Completion ≥85% score 4+  |  Result Usefulness ≥80% score 4+  |  Clarity &amp; Interpretability ≥80% score 3+</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7B241C"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FFFFFF"/>
                <w:sz w:val="26"/>
                <w:szCs w:val="26"/>
              </w:rPr>
              <w:t xml:space="preserve">Example 1:  Credit Portfolio Space — FAILS at Layer 2</w:t>
            </w:r>
          </w:p>
          <w:p>
            <w:pPr>
              <w:spacing w:after="40" w:before="40"/>
              <w:jc w:val="left"/>
            </w:pPr>
            <w:r>
              <w:rPr>
                <w:rFonts w:ascii="Arial" w:cs="Arial" w:eastAsia="Arial" w:hAnsi="Arial"/>
                <w:b w:val="false"/>
                <w:bCs w:val="false"/>
                <w:i/>
                <w:iCs/>
                <w:color w:val="F5C6CB"/>
                <w:sz w:val="20"/>
                <w:szCs w:val="20"/>
              </w:rPr>
              <w:t xml:space="preserve">Space does not proceed to Layer 3</w:t>
            </w:r>
          </w:p>
        </w:tc>
      </w:tr>
    </w:tbl>
    <w:p>
      <w:pPr>
        <w:spacing w:after="80" w:before="0"/>
      </w:pPr>
    </w:p>
    <w:p>
      <w:pPr>
        <w:spacing w:after="80" w:before="160"/>
      </w:pPr>
      <w:r>
        <w:rPr>
          <w:rFonts w:ascii="Arial" w:cs="Arial" w:eastAsia="Arial" w:hAnsi="Arial"/>
          <w:b/>
          <w:bCs/>
          <w:i w:val="false"/>
          <w:iCs w:val="false"/>
          <w:color w:val="2E74B5"/>
          <w:sz w:val="24"/>
          <w:szCs w:val="24"/>
        </w:rPr>
        <w:t xml:space="preserve">Layer 1 Result — PASSES (space proceeds to Layer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Metric</w:t>
            </w:r>
          </w:p>
        </w:tc>
        <w:tc>
          <w:tcPr>
            <w:tcW w:type="dxa" w:w="63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Total benchmark questions</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Good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35</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Bad</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Manual Review Needed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  (required — all questions have SQL answers)</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rate</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87.5%  (35 ÷ 40)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Medium threshold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Gate 1</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 proceeds to Layer 2</w:t>
            </w:r>
          </w:p>
        </w:tc>
      </w:tr>
    </w:tbl>
    <w:p>
      <w:pPr>
        <w:spacing w:after="80" w:before="0"/>
      </w:pPr>
    </w:p>
    <w:p>
      <w:pPr>
        <w:spacing w:after="80" w:before="160"/>
      </w:pPr>
      <w:r>
        <w:rPr>
          <w:rFonts w:ascii="Arial" w:cs="Arial" w:eastAsia="Arial" w:hAnsi="Arial"/>
          <w:b/>
          <w:bCs/>
          <w:i w:val="false"/>
          <w:iCs w:val="false"/>
          <w:color w:val="2E74B5"/>
          <w:sz w:val="24"/>
          <w:szCs w:val="24"/>
        </w:rPr>
        <w:t xml:space="preserve">Layer 2 — SME Review: Score Distribution (25 responses)</w:t>
      </w:r>
    </w:p>
    <w:p>
      <w:pPr>
        <w:spacing w:after="60" w:before="60"/>
        <w:jc w:val="left"/>
      </w:pPr>
      <w:r>
        <w:rPr>
          <w:rFonts w:ascii="Arial" w:cs="Arial" w:eastAsia="Arial" w:hAnsi="Arial"/>
          <w:b w:val="false"/>
          <w:bCs w:val="false"/>
          <w:i w:val="false"/>
          <w:iCs w:val="false"/>
          <w:color w:val="000000"/>
          <w:sz w:val="22"/>
          <w:szCs w:val="22"/>
        </w:rPr>
        <w:t xml:space="preserve">Two SMEs scored each of the 25 sampled responses independently using the offline scoring packet and 1–5 behavioral anchors. Scores below are the combined results averaged across both reviewers.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Score</w:t>
            </w:r>
          </w:p>
        </w:tc>
        <w:tc>
          <w:tcPr>
            <w:tcW w:type="dxa" w:w="238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SQL Correctness
(25 responses)</w:t>
            </w:r>
          </w:p>
        </w:tc>
        <w:tc>
          <w:tcPr>
            <w:tcW w:type="dxa" w:w="2387"/>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Result-Set Completeness
(25 responses)</w:t>
            </w:r>
          </w:p>
        </w:tc>
        <w:tc>
          <w:tcPr>
            <w:tcW w:type="dxa" w:w="2387"/>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Data Value Accuracy
(25 responses)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5 — Excellent</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7  (28%)</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5  (20%)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(40%)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 — Good</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9  (36%)</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(40%)</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11  (44%)</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 — Partial</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  (16%)</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5  (20%)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  (12%)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 — Poor</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  (12%)</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  (16%)</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(4%)</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 Fail</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  (8%)</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(4%)</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Count scoring 4+</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16 responses</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15 responses</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21 responses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 scoring 4+</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16 ÷ 25 = 64%</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15 ÷ 25 = 60%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21 ÷ 25 = 84%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Threshold (Medium)</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≥85% score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≥80% score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≥85% score 4+</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Gate result</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922B21"/>
                <w:sz w:val="20"/>
                <w:szCs w:val="20"/>
              </w:rPr>
              <w:t xml:space="preserve">FAIL — 64% &lt; 85%</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922B21"/>
                <w:sz w:val="20"/>
                <w:szCs w:val="20"/>
              </w:rPr>
              <w:t xml:space="preserve">FAIL — 60% &lt; 80%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922B21"/>
                <w:sz w:val="20"/>
                <w:szCs w:val="20"/>
              </w:rPr>
              <w:t xml:space="preserve">FAIL — 84% &lt; 85%</w:t>
            </w:r>
          </w:p>
        </w:tc>
      </w:tr>
    </w:tbl>
    <w:p>
      <w:pPr>
        <w:spacing w:after="80" w:before="0"/>
      </w:pPr>
    </w:p>
    <w:p>
      <w:pPr>
        <w:spacing w:after="60" w:before="120"/>
      </w:pPr>
      <w:r>
        <w:rPr>
          <w:rFonts w:ascii="Arial" w:cs="Arial" w:eastAsia="Arial" w:hAnsi="Arial"/>
          <w:b/>
          <w:bCs/>
          <w:i w:val="false"/>
          <w:iCs w:val="false"/>
          <w:color w:val="1F3864"/>
          <w:sz w:val="22"/>
          <w:szCs w:val="22"/>
        </w:rPr>
        <w:t xml:space="preserve">How to Read the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000000"/>
                <w:sz w:val="22"/>
                <w:szCs w:val="22"/>
              </w:rPr>
              <w:t xml:space="preserve">Step 1 — </w:t>
            </w:r>
            <w:r>
              <w:rPr>
                <w:rFonts w:ascii="Arial" w:cs="Arial" w:eastAsia="Arial" w:hAnsi="Arial"/>
                <w:b w:val="false"/>
                <w:bCs w:val="false"/>
                <w:i w:val="false"/>
                <w:iCs w:val="false"/>
                <w:color w:val="000000"/>
                <w:sz w:val="22"/>
                <w:szCs w:val="22"/>
              </w:rPr>
              <w:t xml:space="preserve">Reviewers score each response on every dimension using the 1–5 behavioral anchors in Appendix A.</w:t>
            </w:r>
          </w:p>
          <w:p>
            <w:pPr>
              <w:spacing w:after="40" w:before="40"/>
              <w:jc w:val="left"/>
            </w:pPr>
            <w:r>
              <w:rPr>
                <w:rFonts w:ascii="Arial" w:cs="Arial" w:eastAsia="Arial" w:hAnsi="Arial"/>
                <w:b/>
                <w:bCs/>
                <w:i w:val="false"/>
                <w:iCs w:val="false"/>
                <w:color w:val="000000"/>
                <w:sz w:val="22"/>
                <w:szCs w:val="22"/>
              </w:rPr>
              <w:t xml:space="preserve">Step 2 — </w:t>
            </w:r>
            <w:r>
              <w:rPr>
                <w:rFonts w:ascii="Arial" w:cs="Arial" w:eastAsia="Arial" w:hAnsi="Arial"/>
                <w:b w:val="false"/>
                <w:bCs w:val="false"/>
                <w:i w:val="false"/>
                <w:iCs w:val="false"/>
                <w:color w:val="000000"/>
                <w:sz w:val="22"/>
                <w:szCs w:val="22"/>
              </w:rPr>
              <w:t xml:space="preserve">Count how many responses scored 4 or above for each dimension (the floor score for Medium risk SQL Correctness and DVA; 3 or above for Clarity in Layer 3).</w:t>
            </w:r>
          </w:p>
          <w:p>
            <w:pPr>
              <w:spacing w:after="40" w:before="40"/>
              <w:jc w:val="left"/>
            </w:pPr>
            <w:r>
              <w:rPr>
                <w:rFonts w:ascii="Arial" w:cs="Arial" w:eastAsia="Arial" w:hAnsi="Arial"/>
                <w:b/>
                <w:bCs/>
                <w:i w:val="false"/>
                <w:iCs w:val="false"/>
                <w:color w:val="000000"/>
                <w:sz w:val="22"/>
                <w:szCs w:val="22"/>
              </w:rPr>
              <w:t xml:space="preserve">Step 3 — </w:t>
            </w:r>
            <w:r>
              <w:rPr>
                <w:rFonts w:ascii="Arial" w:cs="Arial" w:eastAsia="Arial" w:hAnsi="Arial"/>
                <w:b w:val="false"/>
                <w:bCs w:val="false"/>
                <w:i w:val="false"/>
                <w:iCs w:val="false"/>
                <w:color w:val="000000"/>
                <w:sz w:val="22"/>
                <w:szCs w:val="22"/>
              </w:rPr>
              <w:t xml:space="preserve">Divide that count by the total responses scored to get the percentage.</w:t>
            </w:r>
          </w:p>
          <w:p>
            <w:pPr>
              <w:spacing w:after="40" w:before="40"/>
              <w:jc w:val="left"/>
            </w:pPr>
            <w:r>
              <w:rPr>
                <w:rFonts w:ascii="Arial" w:cs="Arial" w:eastAsia="Arial" w:hAnsi="Arial"/>
                <w:b/>
                <w:bCs/>
                <w:i w:val="false"/>
                <w:iCs w:val="false"/>
                <w:color w:val="000000"/>
                <w:sz w:val="22"/>
                <w:szCs w:val="22"/>
              </w:rPr>
              <w:t xml:space="preserve">Step 4 — </w:t>
            </w:r>
            <w:r>
              <w:rPr>
                <w:rFonts w:ascii="Arial" w:cs="Arial" w:eastAsia="Arial" w:hAnsi="Arial"/>
                <w:b w:val="false"/>
                <w:bCs w:val="false"/>
                <w:i w:val="false"/>
                <w:iCs w:val="false"/>
                <w:color w:val="000000"/>
                <w:sz w:val="22"/>
                <w:szCs w:val="22"/>
              </w:rPr>
              <w:t xml:space="preserve">Compare the percentage against the dimension threshold for the assigned risk tier.</w:t>
            </w:r>
          </w:p>
          <w:p>
            <w:pPr>
              <w:spacing w:after="40" w:before="40"/>
              <w:jc w:val="left"/>
            </w:pPr>
            <w:r>
              <w:rPr>
                <w:rFonts w:ascii="Arial" w:cs="Arial" w:eastAsia="Arial" w:hAnsi="Arial"/>
                <w:b/>
                <w:bCs/>
                <w:i w:val="false"/>
                <w:iCs w:val="false"/>
                <w:color w:val="000000"/>
                <w:sz w:val="22"/>
                <w:szCs w:val="22"/>
              </w:rPr>
              <w:t xml:space="preserve">Example (SQL Correctness): </w:t>
            </w:r>
            <w:r>
              <w:rPr>
                <w:rFonts w:ascii="Arial" w:cs="Arial" w:eastAsia="Arial" w:hAnsi="Arial"/>
                <w:b w:val="false"/>
                <w:bCs w:val="false"/>
                <w:i w:val="false"/>
                <w:iCs w:val="false"/>
                <w:color w:val="000000"/>
                <w:sz w:val="22"/>
                <w:szCs w:val="22"/>
              </w:rPr>
              <w:t xml:space="preserve">16 responses scored 4 or above out of 25 total. 16 ÷ 25 = 64%. Threshold is ≥85%. 64% &lt; 85% → FAIL.</w:t>
            </w:r>
          </w:p>
          <w:p>
            <w:pPr>
              <w:spacing w:after="40" w:before="40"/>
              <w:jc w:val="left"/>
            </w:pPr>
            <w:r>
              <w:rPr>
                <w:rFonts w:ascii="Arial" w:cs="Arial" w:eastAsia="Arial" w:hAnsi="Arial"/>
                <w:b/>
                <w:bCs/>
                <w:i w:val="false"/>
                <w:iCs w:val="false"/>
                <w:color w:val="000000"/>
                <w:sz w:val="22"/>
                <w:szCs w:val="22"/>
              </w:rPr>
              <w:t xml:space="preserve">Important: </w:t>
            </w:r>
            <w:r>
              <w:rPr>
                <w:rFonts w:ascii="Arial" w:cs="Arial" w:eastAsia="Arial" w:hAnsi="Arial"/>
                <w:b w:val="false"/>
                <w:bCs w:val="false"/>
                <w:i w:val="false"/>
                <w:iCs w:val="false"/>
                <w:color w:val="000000"/>
                <w:sz w:val="22"/>
                <w:szCs w:val="22"/>
              </w:rPr>
              <w:t xml:space="preserve">The gate is the percentage of responses meeting the floor — not an average score. A space with a high average can still fail if too many individual responses score below the floor. DVA here averages well above 4 overall, but 84% of responses scored 4+ falls just short of the 85% threshold — illustrating exactly why the percentage check matters.</w:t>
            </w:r>
          </w:p>
        </w:tc>
      </w:tr>
    </w:tbl>
    <w:p>
      <w:pPr>
        <w:spacing w:after="80" w:before="0"/>
      </w:pPr>
    </w:p>
    <w:p>
      <w:pPr>
        <w:spacing w:after="80" w:before="160"/>
      </w:pPr>
      <w:r>
        <w:rPr>
          <w:rFonts w:ascii="Arial" w:cs="Arial" w:eastAsia="Arial" w:hAnsi="Arial"/>
          <w:b/>
          <w:bCs/>
          <w:i w:val="false"/>
          <w:iCs w:val="false"/>
          <w:color w:val="2E74B5"/>
          <w:sz w:val="24"/>
          <w:szCs w:val="24"/>
        </w:rPr>
        <w:t xml:space="preserve">Selected Reviewer Rationale — Scores 1 and 2</w:t>
      </w:r>
    </w:p>
    <w:p>
      <w:pPr>
        <w:spacing w:after="60" w:before="60"/>
        <w:jc w:val="left"/>
      </w:pPr>
      <w:r>
        <w:rPr>
          <w:rFonts w:ascii="Arial" w:cs="Arial" w:eastAsia="Arial" w:hAnsi="Arial"/>
          <w:b w:val="false"/>
          <w:bCs w:val="false"/>
          <w:i w:val="false"/>
          <w:iCs w:val="false"/>
          <w:color w:val="000000"/>
          <w:sz w:val="22"/>
          <w:szCs w:val="22"/>
        </w:rPr>
        <w:t xml:space="preserve">Written rationale is required for any score of 1 or 2. Selected examples from this evaluation:</w:t>
      </w:r>
    </w:p>
    <w:p>
      <w:pPr>
        <w:spacing w:after="40" w:before="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47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Question</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Dimension</w:t>
            </w:r>
          </w:p>
        </w:tc>
        <w:tc>
          <w:tcPr>
            <w:tcW w:type="dxa" w:w="7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Score</w:t>
            </w:r>
          </w:p>
        </w:tc>
        <w:tc>
          <w:tcPr>
            <w:tcW w:type="dxa" w:w="4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Reviewer rationale</w:t>
            </w:r>
          </w:p>
        </w:tc>
      </w:tr>
      <w:tr>
        <w:tc>
          <w:tcPr>
            <w:tcW w:type="dxa" w:w="2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What is the total outstanding balance by borrower segment?</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SQL Correctness</w:t>
            </w:r>
          </w:p>
        </w:tc>
        <w:tc>
          <w:tcPr>
            <w:tcW w:type="dxa" w:w="7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Genie joined to the borrower_demographics table instead of borrower_segments. Result grouped by demographic category, not segment. Related question but wrong answer systematically — any user acting on this would reach incorrect conclusions about segment exposure.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Show me credit concentration by industry for Q1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SQL Correctness</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Genie returned an empty result set. SQL filtered on fiscal_quarter = 'Q1-2026' but the column stores values as '2026-Q1'. Format mismatch — empty result looks like no concentration risk, which is not the same as unknown. A silent failure.</w:t>
            </w:r>
          </w:p>
        </w:tc>
      </w:tr>
      <w:tr>
        <w:tc>
          <w:tcPr>
            <w:tcW w:type="dxa" w:w="2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Which borrowers have balances above $5M?</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Result-Set Completeness</w:t>
            </w:r>
          </w:p>
        </w:tc>
        <w:tc>
          <w:tcPr>
            <w:tcW w:type="dxa" w:w="7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 returned 12 borrowers. Cross-referencing against the known portfolio report shows 19 borrowers above $5M. Genie filtered on current_balance but the field includes only drawn amounts — committed amounts excluded silently. 7 borrowers missing with no indication to the user.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Total portfolio balance as at 31 March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Result-Set Completeness</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Genie returned $2.1B. Known correct figure is $3.4B. Genie queried the loan_summary view which excludes revolving facilities — missing $1.3B with no indication to the user that any facilities were excluded. A user relying on this for a board report would materially misstate portfolio size.</w:t>
            </w:r>
          </w:p>
        </w:tc>
      </w:tr>
    </w:tbl>
    <w:p>
      <w:pPr>
        <w:spacing w:after="80" w:before="0"/>
      </w:pPr>
    </w:p>
    <w:p>
      <w:pPr>
        <w:spacing w:after="80" w:before="160"/>
      </w:pPr>
      <w:r>
        <w:rPr>
          <w:rFonts w:ascii="Arial" w:cs="Arial" w:eastAsia="Arial" w:hAnsi="Arial"/>
          <w:b/>
          <w:bCs/>
          <w:i w:val="false"/>
          <w:iCs w:val="false"/>
          <w:color w:val="2E74B5"/>
          <w:sz w:val="24"/>
          <w:szCs w:val="24"/>
        </w:rPr>
        <w:t xml:space="preserve">Policy and Compliance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Responses reviewed</w:t>
            </w:r>
          </w:p>
        </w:tc>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Reviewer</w:t>
            </w:r>
          </w:p>
        </w:tc>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FAILs</w:t>
            </w:r>
          </w:p>
        </w:tc>
        <w:tc>
          <w:tcPr>
            <w:tcW w:type="dxa" w:w="33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Gate result</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25</w:t>
            </w:r>
          </w:p>
        </w:tc>
        <w:tc>
          <w:tcPr>
            <w:tcW w:type="dxa" w:w="2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Compliance Officer — Credit</w:t>
            </w:r>
          </w:p>
        </w:tc>
        <w:tc>
          <w:tcPr>
            <w:tcW w:type="dxa" w:w="1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w:t>
            </w:r>
          </w:p>
        </w:tc>
        <w:tc>
          <w:tcPr>
            <w:tcW w:type="dxa" w:w="3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 no Policy/Compliance FAILs</w:t>
            </w:r>
          </w:p>
        </w:tc>
      </w:tr>
    </w:tbl>
    <w:p>
      <w:pPr>
        <w:spacing w:after="80" w:before="0"/>
      </w:pPr>
    </w:p>
    <w:p>
      <w:pPr>
        <w:spacing w:after="80" w:before="160"/>
      </w:pPr>
      <w:r>
        <w:rPr>
          <w:rFonts w:ascii="Arial" w:cs="Arial" w:eastAsia="Arial" w:hAnsi="Arial"/>
          <w:b/>
          <w:bCs/>
          <w:i w:val="false"/>
          <w:iCs w:val="false"/>
          <w:color w:val="2E74B5"/>
          <w:sz w:val="24"/>
          <w:szCs w:val="24"/>
        </w:rPr>
        <w:t xml:space="preserve">Layer 2 Gate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ADBD8"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922B21"/>
                <w:sz w:val="22"/>
                <w:szCs w:val="22"/>
              </w:rPr>
              <w:t xml:space="preserve">GATE 2: FAIL — Space does not proceed to Layer 3</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800"/>
        <w:gridCol w:w="35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Dimension</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 scoring at floor+</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Threshold</w:t>
            </w:r>
          </w:p>
        </w:tc>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w:t>
            </w:r>
          </w:p>
        </w:tc>
        <w:tc>
          <w:tcPr>
            <w:tcW w:type="dxa" w:w="3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Root cause summary</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SQL Correctness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64%</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 score 4+</w:t>
            </w:r>
          </w:p>
        </w:tc>
        <w:tc>
          <w:tcPr>
            <w:tcW w:type="dxa" w:w="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FAIL</w:t>
            </w:r>
          </w:p>
        </w:tc>
        <w:tc>
          <w:tcPr>
            <w:tcW w:type="dxa" w:w="35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Wrong table joins on two question types. Borrower segment vs demographic join is incorrect. Date format mismatch causing empty results on quarter-filtered queries.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Result-Set Completeness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60%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≥80% score 4+</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FAIL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Loan summary view excludes revolving facilities. Known $1.3B gap. Gold view redesign required — text instructions cannot fix a view that structurally excludes data.</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Data Value Accuracy</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84%</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 score 4+</w:t>
            </w:r>
          </w:p>
        </w:tc>
        <w:tc>
          <w:tcPr>
            <w:tcW w:type="dxa" w:w="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FAIL</w:t>
            </w:r>
          </w:p>
        </w:tc>
        <w:tc>
          <w:tcPr>
            <w:tcW w:type="dxa" w:w="35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One short of threshold. Root cause is the same revolving facility exclusion affecting completeness — fixing that view will likely resolve DVA failures too.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Policy &amp; Compliance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N/A — pass/fail gate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Zero FAILs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 compliance issues identified in this sample.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000000"/>
                <w:sz w:val="22"/>
                <w:szCs w:val="22"/>
              </w:rPr>
              <w:t xml:space="preserve">Required remediation before re-evaluation:</w:t>
            </w:r>
          </w:p>
          <w:p>
            <w:pPr>
              <w:spacing w:after="40" w:before="40"/>
              <w:jc w:val="left"/>
            </w:pPr>
            <w:r>
              <w:rPr>
                <w:rFonts w:ascii="Arial" w:cs="Arial" w:eastAsia="Arial" w:hAnsi="Arial"/>
                <w:b w:val="false"/>
                <w:bCs w:val="false"/>
                <w:i w:val="false"/>
                <w:iCs w:val="false"/>
                <w:color w:val="000000"/>
                <w:sz w:val="22"/>
                <w:szCs w:val="22"/>
              </w:rPr>
              <w:t xml:space="preserve">1. Redesign the loan_summary gold view to include revolving facilities, or create a new view covering total committed exposure. This is a data model fix — text instructions will not resolve it.</w:t>
            </w:r>
          </w:p>
          <w:p>
            <w:pPr>
              <w:spacing w:after="40" w:before="40"/>
              <w:jc w:val="left"/>
            </w:pPr>
            <w:r>
              <w:rPr>
                <w:rFonts w:ascii="Arial" w:cs="Arial" w:eastAsia="Arial" w:hAnsi="Arial"/>
                <w:b w:val="false"/>
                <w:bCs w:val="false"/>
                <w:i w:val="false"/>
                <w:iCs w:val="false"/>
                <w:color w:val="000000"/>
                <w:sz w:val="22"/>
                <w:szCs w:val="22"/>
              </w:rPr>
              <w:t xml:space="preserve">2. Fix the borrower_segments join in the Genie Space knowledge store — add an explicit join relationship linking the correct table.</w:t>
            </w:r>
          </w:p>
          <w:p>
            <w:pPr>
              <w:spacing w:after="40" w:before="40"/>
              <w:jc w:val="left"/>
            </w:pPr>
            <w:r>
              <w:rPr>
                <w:rFonts w:ascii="Arial" w:cs="Arial" w:eastAsia="Arial" w:hAnsi="Arial"/>
                <w:b w:val="false"/>
                <w:bCs w:val="false"/>
                <w:i w:val="false"/>
                <w:iCs w:val="false"/>
                <w:color w:val="000000"/>
                <w:sz w:val="22"/>
                <w:szCs w:val="22"/>
              </w:rPr>
              <w:t xml:space="preserve">3. Fix the date format mismatch on fiscal_quarter — standardise the column or add a SQL expression handling both formats.</w:t>
            </w:r>
          </w:p>
          <w:p>
            <w:pPr>
              <w:spacing w:after="40" w:before="40"/>
              <w:jc w:val="left"/>
            </w:pPr>
            <w:r>
              <w:rPr>
                <w:rFonts w:ascii="Arial" w:cs="Arial" w:eastAsia="Arial" w:hAnsi="Arial"/>
                <w:b w:val="false"/>
                <w:bCs w:val="false"/>
                <w:i w:val="false"/>
                <w:iCs w:val="false"/>
                <w:color w:val="000000"/>
                <w:sz w:val="22"/>
                <w:szCs w:val="22"/>
              </w:rPr>
              <w:t xml:space="preserve">4. Re-run the full Layer 1 benchmark set after all fixes. Confirm the three failed question types now score Good.</w:t>
            </w:r>
          </w:p>
          <w:p>
            <w:pPr>
              <w:spacing w:after="40" w:before="40"/>
              <w:jc w:val="left"/>
            </w:pPr>
            <w:r>
              <w:rPr>
                <w:rFonts w:ascii="Arial" w:cs="Arial" w:eastAsia="Arial" w:hAnsi="Arial"/>
                <w:b w:val="false"/>
                <w:bCs w:val="false"/>
                <w:i w:val="false"/>
                <w:iCs w:val="false"/>
                <w:color w:val="000000"/>
                <w:sz w:val="22"/>
                <w:szCs w:val="22"/>
              </w:rPr>
              <w:t xml:space="preserve">5. Repeat Layer 2 SME review on the affected question categories. Do not proceed to Layer 3 until all thresholds clear.</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D6B34"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FFFFFF"/>
                <w:sz w:val="26"/>
                <w:szCs w:val="26"/>
              </w:rPr>
              <w:t xml:space="preserve">Example 2:  Credit Portfolio Space (v2) — PASSES Layer 2 and Layer 3</w:t>
            </w:r>
          </w:p>
          <w:p>
            <w:pPr>
              <w:spacing w:after="40" w:before="40"/>
              <w:jc w:val="left"/>
            </w:pPr>
            <w:r>
              <w:rPr>
                <w:rFonts w:ascii="Arial" w:cs="Arial" w:eastAsia="Arial" w:hAnsi="Arial"/>
                <w:b w:val="false"/>
                <w:bCs w:val="false"/>
                <w:i/>
                <w:iCs/>
                <w:color w:val="C8E6C9"/>
                <w:sz w:val="20"/>
                <w:szCs w:val="20"/>
              </w:rPr>
              <w:t xml:space="preserve">Remediated space — proceeds to staged deployment</w:t>
            </w:r>
          </w:p>
        </w:tc>
      </w:tr>
    </w:tbl>
    <w:p>
      <w:pPr>
        <w:spacing w:after="80" w:before="0"/>
      </w:pPr>
    </w:p>
    <w:p>
      <w:pPr>
        <w:spacing w:after="80" w:before="160"/>
      </w:pPr>
      <w:r>
        <w:rPr>
          <w:rFonts w:ascii="Arial" w:cs="Arial" w:eastAsia="Arial" w:hAnsi="Arial"/>
          <w:b/>
          <w:bCs/>
          <w:i w:val="false"/>
          <w:iCs w:val="false"/>
          <w:color w:val="2E74B5"/>
          <w:sz w:val="24"/>
          <w:szCs w:val="24"/>
        </w:rPr>
        <w:t xml:space="preserve">Layer 1 Result — PASSES (space proceeds to Layer 2)</w:t>
      </w:r>
    </w:p>
    <w:p>
      <w:pPr>
        <w:spacing w:after="60" w:before="60"/>
        <w:jc w:val="left"/>
      </w:pPr>
      <w:r>
        <w:rPr>
          <w:rFonts w:ascii="Arial" w:cs="Arial" w:eastAsia="Arial" w:hAnsi="Arial"/>
          <w:b w:val="false"/>
          <w:bCs w:val="false"/>
          <w:i w:val="false"/>
          <w:iCs w:val="false"/>
          <w:color w:val="000000"/>
          <w:sz w:val="22"/>
          <w:szCs w:val="22"/>
        </w:rPr>
        <w:t xml:space="preserve">After remediation — gold view redesign, join fix, date format correction — the full benchmark set was re-run.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Metric</w:t>
            </w:r>
          </w:p>
        </w:tc>
        <w:tc>
          <w:tcPr>
            <w:tcW w:type="dxa" w:w="63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Total benchmark questions</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Good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38</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Bad</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Manual Review Needed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rate</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95.0%  (38 ÷ 40)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Medium threshold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Gate 1</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 proceeds to Layer 2</w:t>
            </w:r>
          </w:p>
        </w:tc>
      </w:tr>
    </w:tbl>
    <w:p>
      <w:pPr>
        <w:spacing w:after="80" w:before="0"/>
      </w:pPr>
    </w:p>
    <w:p>
      <w:pPr>
        <w:spacing w:after="80" w:before="160"/>
      </w:pPr>
      <w:r>
        <w:rPr>
          <w:rFonts w:ascii="Arial" w:cs="Arial" w:eastAsia="Arial" w:hAnsi="Arial"/>
          <w:b/>
          <w:bCs/>
          <w:i w:val="false"/>
          <w:iCs w:val="false"/>
          <w:color w:val="2E74B5"/>
          <w:sz w:val="24"/>
          <w:szCs w:val="24"/>
        </w:rPr>
        <w:t xml:space="preserve">Layer 2 — SME Review: Score Distribution (25 responses)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Score</w:t>
            </w:r>
          </w:p>
        </w:tc>
        <w:tc>
          <w:tcPr>
            <w:tcW w:type="dxa" w:w="238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SQL Correctness
(25 responses)</w:t>
            </w:r>
          </w:p>
        </w:tc>
        <w:tc>
          <w:tcPr>
            <w:tcW w:type="dxa" w:w="2387"/>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Result-Set Completeness
(25 responses)</w:t>
            </w:r>
          </w:p>
        </w:tc>
        <w:tc>
          <w:tcPr>
            <w:tcW w:type="dxa" w:w="2387"/>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Data Value Accuracy
(25 responses)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5 — Excellent</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13  (52%)</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11  (44%)</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12  (48%)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 — Good</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9  (36%)</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(40%)</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(40%)</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 — Partial</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  (8%)</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  (12%)</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  (8%)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 — Poor</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(4%)</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 Fail</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  (0%)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  (0%)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Count scoring 4+</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22 responses</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21 responses</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22 responses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 scoring 4+</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22 ÷ 25 = 88%</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21 ÷ 25 = 84%</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22 ÷ 25 = 88%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Threshold (Medium)</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≥85% score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≥80% score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≥85% score 4+</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Gate result</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D6B34"/>
                <w:sz w:val="20"/>
                <w:szCs w:val="20"/>
              </w:rPr>
              <w:t xml:space="preserve">PASS — 88% ≥ 85%</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D6B34"/>
                <w:sz w:val="20"/>
                <w:szCs w:val="20"/>
              </w:rPr>
              <w:t xml:space="preserve">PASS — 84% ≥ 80%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D6B34"/>
                <w:sz w:val="20"/>
                <w:szCs w:val="20"/>
              </w:rPr>
              <w:t xml:space="preserve">PASS — 88% ≥ 85%</w:t>
            </w:r>
          </w:p>
        </w:tc>
      </w:tr>
    </w:tbl>
    <w:p>
      <w:pPr>
        <w:spacing w:after="80" w:before="0"/>
      </w:pPr>
    </w:p>
    <w:p>
      <w:pPr>
        <w:spacing w:after="60" w:before="120"/>
      </w:pPr>
      <w:r>
        <w:rPr>
          <w:rFonts w:ascii="Arial" w:cs="Arial" w:eastAsia="Arial" w:hAnsi="Arial"/>
          <w:b/>
          <w:bCs/>
          <w:i w:val="false"/>
          <w:iCs w:val="false"/>
          <w:color w:val="1F3864"/>
          <w:sz w:val="22"/>
          <w:szCs w:val="22"/>
        </w:rPr>
        <w:t xml:space="preserve">How to Read the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000000"/>
                <w:sz w:val="22"/>
                <w:szCs w:val="22"/>
              </w:rPr>
              <w:t xml:space="preserve">SQL Correctness: </w:t>
            </w:r>
            <w:r>
              <w:rPr>
                <w:rFonts w:ascii="Arial" w:cs="Arial" w:eastAsia="Arial" w:hAnsi="Arial"/>
                <w:b w:val="false"/>
                <w:bCs w:val="false"/>
                <w:i w:val="false"/>
                <w:iCs w:val="false"/>
                <w:color w:val="000000"/>
                <w:sz w:val="22"/>
                <w:szCs w:val="22"/>
              </w:rPr>
              <w:t xml:space="preserve">22 of 25 responses scored 4 or above. 22 ÷ 25 = 88%. Threshold ≥85%. 88% ≥ 85% → PASS.</w:t>
            </w:r>
          </w:p>
          <w:p>
            <w:pPr>
              <w:spacing w:after="40" w:before="40"/>
              <w:jc w:val="left"/>
            </w:pPr>
            <w:r>
              <w:rPr>
                <w:rFonts w:ascii="Arial" w:cs="Arial" w:eastAsia="Arial" w:hAnsi="Arial"/>
                <w:b/>
                <w:bCs/>
                <w:i w:val="false"/>
                <w:iCs w:val="false"/>
                <w:color w:val="000000"/>
                <w:sz w:val="22"/>
                <w:szCs w:val="22"/>
              </w:rPr>
              <w:t xml:space="preserve">Result-Set Completeness: </w:t>
            </w:r>
            <w:r>
              <w:rPr>
                <w:rFonts w:ascii="Arial" w:cs="Arial" w:eastAsia="Arial" w:hAnsi="Arial"/>
                <w:b w:val="false"/>
                <w:bCs w:val="false"/>
                <w:i w:val="false"/>
                <w:iCs w:val="false"/>
                <w:color w:val="000000"/>
                <w:sz w:val="22"/>
                <w:szCs w:val="22"/>
              </w:rPr>
              <w:t xml:space="preserve">21 of 25 scored 4 or above. 21 ÷ 25 = 84%. Threshold ≥80%. 84% ≥ 80% → PASS.</w:t>
            </w:r>
          </w:p>
          <w:p>
            <w:pPr>
              <w:spacing w:after="40" w:before="40"/>
              <w:jc w:val="left"/>
            </w:pPr>
            <w:r>
              <w:rPr>
                <w:rFonts w:ascii="Arial" w:cs="Arial" w:eastAsia="Arial" w:hAnsi="Arial"/>
                <w:b/>
                <w:bCs/>
                <w:i w:val="false"/>
                <w:iCs w:val="false"/>
                <w:color w:val="000000"/>
                <w:sz w:val="22"/>
                <w:szCs w:val="22"/>
              </w:rPr>
              <w:t xml:space="preserve">Data Value Accuracy: </w:t>
            </w:r>
            <w:r>
              <w:rPr>
                <w:rFonts w:ascii="Arial" w:cs="Arial" w:eastAsia="Arial" w:hAnsi="Arial"/>
                <w:b w:val="false"/>
                <w:bCs w:val="false"/>
                <w:i w:val="false"/>
                <w:iCs w:val="false"/>
                <w:color w:val="000000"/>
                <w:sz w:val="22"/>
                <w:szCs w:val="22"/>
              </w:rPr>
              <w:t xml:space="preserve">22 of 25 scored 4 or above. 22 ÷ 25 = 88%. Threshold ≥85%. 88% ≥ 85% → PASS.</w:t>
            </w:r>
          </w:p>
          <w:p>
            <w:pPr>
              <w:spacing w:after="40" w:before="40"/>
              <w:jc w:val="left"/>
            </w:pPr>
            <w:r>
              <w:rPr>
                <w:rFonts w:ascii="Arial" w:cs="Arial" w:eastAsia="Arial" w:hAnsi="Arial"/>
                <w:b/>
                <w:bCs/>
                <w:i w:val="false"/>
                <w:iCs w:val="false"/>
                <w:color w:val="000000"/>
                <w:sz w:val="22"/>
                <w:szCs w:val="22"/>
              </w:rPr>
              <w:t xml:space="preserve">Note on dimension priority: </w:t>
            </w:r>
            <w:r>
              <w:rPr>
                <w:rFonts w:ascii="Arial" w:cs="Arial" w:eastAsia="Arial" w:hAnsi="Arial"/>
                <w:b w:val="false"/>
                <w:bCs w:val="false"/>
                <w:i w:val="false"/>
                <w:iCs w:val="false"/>
                <w:color w:val="000000"/>
                <w:sz w:val="22"/>
                <w:szCs w:val="22"/>
              </w:rPr>
              <w:t xml:space="preserve">SQL Correctness is the primary dimension — it is investigated first when diagnosing failures. But in this example all three dimensions pass, so priority determines the order of the remediation notes below, not the gate outcome. All three must pass independently — a high score on DVA cannot compensate for a failure on SQL Correctness.</w:t>
            </w:r>
          </w:p>
        </w:tc>
      </w:tr>
    </w:tbl>
    <w:p>
      <w:pPr>
        <w:spacing w:after="80" w:before="0"/>
      </w:pPr>
    </w:p>
    <w:p>
      <w:pPr>
        <w:spacing w:after="80" w:before="160"/>
      </w:pPr>
      <w:r>
        <w:rPr>
          <w:rFonts w:ascii="Arial" w:cs="Arial" w:eastAsia="Arial" w:hAnsi="Arial"/>
          <w:b/>
          <w:bCs/>
          <w:i w:val="false"/>
          <w:iCs w:val="false"/>
          <w:color w:val="2E74B5"/>
          <w:sz w:val="24"/>
          <w:szCs w:val="24"/>
        </w:rPr>
        <w:t xml:space="preserve">Selected Reviewer Rationale — Score 2 Responses</w:t>
      </w:r>
    </w:p>
    <w:p>
      <w:pPr>
        <w:spacing w:after="60" w:before="60"/>
        <w:jc w:val="left"/>
      </w:pPr>
      <w:r>
        <w:rPr>
          <w:rFonts w:ascii="Arial" w:cs="Arial" w:eastAsia="Arial" w:hAnsi="Arial"/>
          <w:b w:val="false"/>
          <w:bCs w:val="false"/>
          <w:i w:val="false"/>
          <w:iCs w:val="false"/>
          <w:color w:val="000000"/>
          <w:sz w:val="22"/>
          <w:szCs w:val="22"/>
        </w:rPr>
        <w:t xml:space="preserve">Three responses scored 2 across all dimensions. Written rationale required for all scores below 3:</w:t>
      </w:r>
    </w:p>
    <w:p>
      <w:pPr>
        <w:spacing w:after="40" w:before="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47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Question</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Dimension</w:t>
            </w:r>
          </w:p>
        </w:tc>
        <w:tc>
          <w:tcPr>
            <w:tcW w:type="dxa" w:w="7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Score</w:t>
            </w:r>
          </w:p>
        </w:tc>
        <w:tc>
          <w:tcPr>
            <w:tcW w:type="dxa" w:w="4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Reviewer rationale</w:t>
            </w:r>
          </w:p>
        </w:tc>
      </w:tr>
      <w:tr>
        <w:tc>
          <w:tcPr>
            <w:tcW w:type="dxa" w:w="2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List all borrowers in the agriculture sector with exposure above $2M.</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SQL Correctness</w:t>
            </w:r>
          </w:p>
        </w:tc>
        <w:tc>
          <w:tcPr>
            <w:tcW w:type="dxa" w:w="7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Genie joined on sector_code = 'AG' but the table uses sector_name = 'Agriculture'. Three borrowers with sector_code 'AGRI' were excluded. Join condition uses wrong field. Developer to add entity synonym for agriculture sector codes in the knowledge store.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What percentage of the portfolio is classified as Watch List?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Result-Set Completeness</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 returned 4.2%. Cross-reference against risk rating report shows 5.1%. Two borrowers recently moved to Watch List are in the pending_classifications staging table, not the main risk_ratings table. Genie queries main table only — known data latency gap, not a SQL error. Developer to document this limitation in space instructions.</w:t>
            </w:r>
          </w:p>
        </w:tc>
      </w:tr>
      <w:tr>
        <w:tc>
          <w:tcPr>
            <w:tcW w:type="dxa" w:w="2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Show total fee income by loan type for the last 12 months.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Data Value Accuracy</w:t>
            </w:r>
          </w:p>
        </w:tc>
        <w:tc>
          <w:tcPr>
            <w:tcW w:type="dxa" w:w="7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Values directionally correct but off by approximately 8%. The loan_fees view includes origination fees but the standard management report excludes them. Definition mismatch. Developer to align view definition or add a result note explaining the inclusion.</w:t>
            </w:r>
          </w:p>
        </w:tc>
      </w:tr>
    </w:tbl>
    <w:p>
      <w:pPr>
        <w:spacing w:after="80" w:before="0"/>
      </w:pPr>
    </w:p>
    <w:p>
      <w:pPr>
        <w:spacing w:after="80" w:before="160"/>
      </w:pPr>
      <w:r>
        <w:rPr>
          <w:rFonts w:ascii="Arial" w:cs="Arial" w:eastAsia="Arial" w:hAnsi="Arial"/>
          <w:b/>
          <w:bCs/>
          <w:i w:val="false"/>
          <w:iCs w:val="false"/>
          <w:color w:val="2E74B5"/>
          <w:sz w:val="24"/>
          <w:szCs w:val="24"/>
        </w:rPr>
        <w:t xml:space="preserve">Policy and Compliance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Responses reviewed</w:t>
            </w:r>
          </w:p>
        </w:tc>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Reviewer</w:t>
            </w:r>
          </w:p>
        </w:tc>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FAILs</w:t>
            </w:r>
          </w:p>
        </w:tc>
        <w:tc>
          <w:tcPr>
            <w:tcW w:type="dxa" w:w="33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Gate result</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25</w:t>
            </w:r>
          </w:p>
        </w:tc>
        <w:tc>
          <w:tcPr>
            <w:tcW w:type="dxa" w:w="2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Compliance Officer — Credit</w:t>
            </w:r>
          </w:p>
        </w:tc>
        <w:tc>
          <w:tcPr>
            <w:tcW w:type="dxa" w:w="1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0</w:t>
            </w:r>
          </w:p>
        </w:tc>
        <w:tc>
          <w:tcPr>
            <w:tcW w:type="dxa" w:w="3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 no Policy/Compliance FAILs</w:t>
            </w:r>
          </w:p>
        </w:tc>
      </w:tr>
    </w:tbl>
    <w:p>
      <w:pPr>
        <w:spacing w:after="80" w:before="0"/>
      </w:pPr>
    </w:p>
    <w:p>
      <w:pPr>
        <w:spacing w:after="80" w:before="160"/>
      </w:pPr>
      <w:r>
        <w:rPr>
          <w:rFonts w:ascii="Arial" w:cs="Arial" w:eastAsia="Arial" w:hAnsi="Arial"/>
          <w:b/>
          <w:bCs/>
          <w:i w:val="false"/>
          <w:iCs w:val="false"/>
          <w:color w:val="2E74B5"/>
          <w:sz w:val="24"/>
          <w:szCs w:val="24"/>
        </w:rPr>
        <w:t xml:space="preserve">Layer 2 Gate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FD8"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1D6B34"/>
                <w:sz w:val="22"/>
                <w:szCs w:val="22"/>
              </w:rPr>
              <w:t xml:space="preserve">GATE 2: PASS — Space proceeds to Layer 3 Business User Pilot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800"/>
        <w:gridCol w:w="35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Dimension</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 scoring at floor+</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Threshold</w:t>
            </w:r>
          </w:p>
        </w:tc>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w:t>
            </w:r>
          </w:p>
        </w:tc>
        <w:tc>
          <w:tcPr>
            <w:tcW w:type="dxa" w:w="3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Notes</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SQL Correctness</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88%</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 score 4+</w:t>
            </w:r>
          </w:p>
        </w:tc>
        <w:tc>
          <w:tcPr>
            <w:tcW w:type="dxa" w:w="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5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Two borderline score-3 responses and one score-2 on sector synonym gap. Minor item — developer to add entity synonym before Layer 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Result-Set Completeness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≥80% score 4+</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One score-2 related to data latency in staging table. Known limitation — developer to document in space instructions before Layer 3.</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Data Value Accuracy</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88%</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 score 4+</w:t>
            </w:r>
          </w:p>
        </w:tc>
        <w:tc>
          <w:tcPr>
            <w:tcW w:type="dxa" w:w="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5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One score-2 on fee income definition mismatch. Developer to align view or add clarifying note.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Policy &amp; Compliance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Zero FAILs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No compliance issues.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000000"/>
                <w:sz w:val="22"/>
                <w:szCs w:val="22"/>
              </w:rPr>
              <w:t xml:space="preserve">Three minor items for developer to resolve before Layer 3 begins:</w:t>
            </w:r>
          </w:p>
          <w:p>
            <w:pPr>
              <w:spacing w:after="40" w:before="40"/>
              <w:jc w:val="left"/>
            </w:pPr>
            <w:r>
              <w:rPr>
                <w:rFonts w:ascii="Arial" w:cs="Arial" w:eastAsia="Arial" w:hAnsi="Arial"/>
                <w:b w:val="false"/>
                <w:bCs w:val="false"/>
                <w:i w:val="false"/>
                <w:iCs w:val="false"/>
                <w:color w:val="000000"/>
                <w:sz w:val="22"/>
                <w:szCs w:val="22"/>
              </w:rPr>
              <w:t xml:space="preserve">1. Add entity synonym for agriculture sector codes (AG / AGRI / Agriculture) in the Genie Space knowledge store.</w:t>
            </w:r>
          </w:p>
          <w:p>
            <w:pPr>
              <w:spacing w:after="40" w:before="40"/>
              <w:jc w:val="left"/>
            </w:pPr>
            <w:r>
              <w:rPr>
                <w:rFonts w:ascii="Arial" w:cs="Arial" w:eastAsia="Arial" w:hAnsi="Arial"/>
                <w:b w:val="false"/>
                <w:bCs w:val="false"/>
                <w:i w:val="false"/>
                <w:iCs w:val="false"/>
                <w:color w:val="000000"/>
                <w:sz w:val="22"/>
                <w:szCs w:val="22"/>
              </w:rPr>
              <w:t xml:space="preserve">2. Add a text note to space instructions documenting the pending_classifications data latency gap.</w:t>
            </w:r>
          </w:p>
          <w:p>
            <w:pPr>
              <w:spacing w:after="40" w:before="40"/>
              <w:jc w:val="left"/>
            </w:pPr>
            <w:r>
              <w:rPr>
                <w:rFonts w:ascii="Arial" w:cs="Arial" w:eastAsia="Arial" w:hAnsi="Arial"/>
                <w:b w:val="false"/>
                <w:bCs w:val="false"/>
                <w:i w:val="false"/>
                <w:iCs w:val="false"/>
                <w:color w:val="000000"/>
                <w:sz w:val="22"/>
                <w:szCs w:val="22"/>
              </w:rPr>
              <w:t xml:space="preserve">3. Align the loan_fees view definition or add a result note explaining origination fee inclusion.</w:t>
            </w:r>
          </w:p>
          <w:p>
            <w:pPr>
              <w:spacing w:after="40" w:before="40"/>
              <w:jc w:val="left"/>
            </w:pPr>
            <w:r>
              <w:rPr>
                <w:rFonts w:ascii="Arial" w:cs="Arial" w:eastAsia="Arial" w:hAnsi="Arial"/>
                <w:b w:val="false"/>
                <w:bCs w:val="false"/>
                <w:i w:val="false"/>
                <w:iCs w:val="false"/>
                <w:color w:val="000000"/>
                <w:sz w:val="22"/>
                <w:szCs w:val="22"/>
              </w:rPr>
              <w:t xml:space="preserve">None of these require a Layer 1 re-run or Layer 2 re-review. Confirm fixes are in place before recruiting Layer 3 testers.</w:t>
            </w:r>
          </w:p>
        </w:tc>
      </w:tr>
    </w:tbl>
    <w:p>
      <w:pPr>
        <w:spacing w:after="80" w:before="0"/>
      </w:pPr>
    </w:p>
    <w:p>
      <w:pPr>
        <w:spacing w:after="80" w:before="160"/>
      </w:pPr>
      <w:r>
        <w:rPr>
          <w:rFonts w:ascii="Arial" w:cs="Arial" w:eastAsia="Arial" w:hAnsi="Arial"/>
          <w:b/>
          <w:bCs/>
          <w:i w:val="false"/>
          <w:iCs w:val="false"/>
          <w:color w:val="2E74B5"/>
          <w:sz w:val="24"/>
          <w:szCs w:val="24"/>
        </w:rPr>
        <w:t xml:space="preserve">Layer 3 — Business User Pilot</w:t>
      </w:r>
    </w:p>
    <w:p>
      <w:pPr>
        <w:spacing w:after="60" w:before="60"/>
        <w:jc w:val="left"/>
      </w:pPr>
      <w:r>
        <w:rPr>
          <w:rFonts w:ascii="Arial" w:cs="Arial" w:eastAsia="Arial" w:hAnsi="Arial"/>
          <w:b w:val="false"/>
          <w:bCs w:val="false"/>
          <w:i w:val="false"/>
          <w:iCs w:val="false"/>
          <w:color w:val="000000"/>
          <w:sz w:val="22"/>
          <w:szCs w:val="22"/>
        </w:rPr>
        <w:t xml:space="preserve">10 business user testers (7 portfolio managers, 3 credit officers) completed 18 structured task list questions each, drawn from the Layer 1 benchmark set. Each tester completed a per-interaction rating form immediately after each Genie response using the 1–5 behavioral scale for all three dimensions. Thumbs up/down in the Genie UI was provided as supplementary signal.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Parameter</w:t>
            </w:r>
          </w:p>
        </w:tc>
        <w:tc>
          <w:tcPr>
            <w:tcW w:type="dxa" w:w="63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Testers</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(7 portfolio managers, 3 credit officers)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Task list questions per tester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18</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Total interactions scored</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180  (10 testers × 18 questions)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task completion rate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100%  (all 10 completed all 18 tasks)</w:t>
            </w:r>
          </w:p>
        </w:tc>
      </w:tr>
      <w:tr>
        <w:tc>
          <w:tcPr>
            <w:tcW w:type="dxa" w:w="3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completion threshold (Medium)</w:t>
            </w:r>
          </w:p>
        </w:tc>
        <w:tc>
          <w:tcPr>
            <w:tcW w:type="dxa" w:w="63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completion gate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r>
    </w:tbl>
    <w:p>
      <w:pPr>
        <w:spacing w:after="80" w:before="0"/>
      </w:pPr>
    </w:p>
    <w:p>
      <w:pPr>
        <w:spacing w:after="80" w:before="160"/>
      </w:pPr>
      <w:r>
        <w:rPr>
          <w:rFonts w:ascii="Arial" w:cs="Arial" w:eastAsia="Arial" w:hAnsi="Arial"/>
          <w:b/>
          <w:bCs/>
          <w:i w:val="false"/>
          <w:iCs w:val="false"/>
          <w:color w:val="2E74B5"/>
          <w:sz w:val="24"/>
          <w:szCs w:val="24"/>
        </w:rPr>
        <w:t xml:space="preserve">Layer 3 — Score Distribution (180 interactions)</w:t>
      </w:r>
    </w:p>
    <w:p>
      <w:pPr>
        <w:spacing w:after="60" w:before="60"/>
        <w:jc w:val="left"/>
      </w:pPr>
      <w:r>
        <w:rPr>
          <w:rFonts w:ascii="Arial" w:cs="Arial" w:eastAsia="Arial" w:hAnsi="Arial"/>
          <w:b w:val="false"/>
          <w:bCs w:val="false"/>
          <w:i w:val="false"/>
          <w:iCs w:val="false"/>
          <w:color w:val="000000"/>
          <w:sz w:val="22"/>
          <w:szCs w:val="22"/>
        </w:rPr>
        <w:t xml:space="preserve">Testers scored each interaction on all three dimensions using the 1–5 behavioral anchors immediately after receiving each response.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Score</w:t>
            </w:r>
          </w:p>
        </w:tc>
        <w:tc>
          <w:tcPr>
            <w:tcW w:type="dxa" w:w="238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Task Completion
(180 interactions)</w:t>
            </w:r>
          </w:p>
        </w:tc>
        <w:tc>
          <w:tcPr>
            <w:tcW w:type="dxa" w:w="2387"/>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 Usefulness
(180 interactions)</w:t>
            </w:r>
          </w:p>
        </w:tc>
        <w:tc>
          <w:tcPr>
            <w:tcW w:type="dxa" w:w="2387"/>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Clarity &amp; Interpretability
(180 interactions)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5 — Excellent</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102  (57%)</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91  (51%)</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79  (44%)</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 — Good</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68  (38%)</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61  (34%)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82  (46%)</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 — Partial</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6  (3%)</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14  (8%)</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13  (7%)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 — Poor</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3  (2%)</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(6%)</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5  (3%)</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 Fail</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(1%)</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  (2%)</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Count at floor+</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170 responses
(score 4 or 5)</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152 responses
(score 4 or 5)</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174 responses
(score 3, 4, or 5)</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 at floor+</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170 ÷ 180 = 94%</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152 ÷ 180 = 84%</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174 ÷ 180 = 97%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Threshold (Medium)</w:t>
            </w:r>
          </w:p>
        </w:tc>
        <w:tc>
          <w:tcPr>
            <w:tcW w:type="dxa" w:w="238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≥85% score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≥80% score 4+</w:t>
            </w:r>
          </w:p>
        </w:tc>
        <w:tc>
          <w:tcPr>
            <w:tcW w:type="dxa" w:w="2387"/>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iCs/>
                <w:color w:val="000000"/>
                <w:sz w:val="20"/>
                <w:szCs w:val="20"/>
              </w:rPr>
              <w:t xml:space="preserve">≥80% score 3+</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0000"/>
                <w:sz w:val="20"/>
                <w:szCs w:val="20"/>
              </w:rPr>
              <w:t xml:space="preserve">Gate result</w:t>
            </w:r>
          </w:p>
        </w:tc>
        <w:tc>
          <w:tcPr>
            <w:tcW w:type="dxa" w:w="2386"/>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D6B34"/>
                <w:sz w:val="20"/>
                <w:szCs w:val="20"/>
              </w:rPr>
              <w:t xml:space="preserve">PASS — 94% ≥ 85%</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D6B34"/>
                <w:sz w:val="20"/>
                <w:szCs w:val="20"/>
              </w:rPr>
              <w:t xml:space="preserve">PASS — 84% ≥ 80%</w:t>
            </w:r>
          </w:p>
        </w:tc>
        <w:tc>
          <w:tcPr>
            <w:tcW w:type="dxa" w:w="2387"/>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1D6B34"/>
                <w:sz w:val="20"/>
                <w:szCs w:val="20"/>
              </w:rPr>
              <w:t xml:space="preserve">PASS — 97% ≥ 80%</w:t>
            </w:r>
          </w:p>
        </w:tc>
      </w:tr>
    </w:tbl>
    <w:p>
      <w:pPr>
        <w:spacing w:after="80" w:before="0"/>
      </w:pPr>
    </w:p>
    <w:p>
      <w:pPr>
        <w:spacing w:after="60" w:before="120"/>
      </w:pPr>
      <w:r>
        <w:rPr>
          <w:rFonts w:ascii="Arial" w:cs="Arial" w:eastAsia="Arial" w:hAnsi="Arial"/>
          <w:b/>
          <w:bCs/>
          <w:i w:val="false"/>
          <w:iCs w:val="false"/>
          <w:color w:val="1F3864"/>
          <w:sz w:val="22"/>
          <w:szCs w:val="22"/>
        </w:rPr>
        <w:t xml:space="preserve">How to Read the Layer 3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000000"/>
                <w:sz w:val="22"/>
                <w:szCs w:val="22"/>
              </w:rPr>
              <w:t xml:space="preserve">Task Completion (floor = score 4+): </w:t>
            </w:r>
            <w:r>
              <w:rPr>
                <w:rFonts w:ascii="Arial" w:cs="Arial" w:eastAsia="Arial" w:hAnsi="Arial"/>
                <w:b w:val="false"/>
                <w:bCs w:val="false"/>
                <w:i w:val="false"/>
                <w:iCs w:val="false"/>
                <w:color w:val="000000"/>
                <w:sz w:val="22"/>
                <w:szCs w:val="22"/>
              </w:rPr>
              <w:t xml:space="preserve">170 of 180 interactions scored 4 or 5. 170 ÷ 180 = 94.4%. Threshold ≥85%. PASS.</w:t>
            </w:r>
          </w:p>
          <w:p>
            <w:pPr>
              <w:spacing w:after="40" w:before="40"/>
              <w:jc w:val="left"/>
            </w:pPr>
            <w:r>
              <w:rPr>
                <w:rFonts w:ascii="Arial" w:cs="Arial" w:eastAsia="Arial" w:hAnsi="Arial"/>
                <w:b/>
                <w:bCs/>
                <w:i w:val="false"/>
                <w:iCs w:val="false"/>
                <w:color w:val="000000"/>
                <w:sz w:val="22"/>
                <w:szCs w:val="22"/>
              </w:rPr>
              <w:t xml:space="preserve">Result Usefulness (floor = score 4+): </w:t>
            </w:r>
            <w:r>
              <w:rPr>
                <w:rFonts w:ascii="Arial" w:cs="Arial" w:eastAsia="Arial" w:hAnsi="Arial"/>
                <w:b w:val="false"/>
                <w:bCs w:val="false"/>
                <w:i w:val="false"/>
                <w:iCs w:val="false"/>
                <w:color w:val="000000"/>
                <w:sz w:val="22"/>
                <w:szCs w:val="22"/>
              </w:rPr>
              <w:t xml:space="preserve">152 of 180 scored 4 or 5. 152 ÷ 180 = 84.4%. Threshold ≥80%. PASS.</w:t>
            </w:r>
          </w:p>
          <w:p>
            <w:pPr>
              <w:spacing w:after="40" w:before="40"/>
              <w:jc w:val="left"/>
            </w:pPr>
            <w:r>
              <w:rPr>
                <w:rFonts w:ascii="Arial" w:cs="Arial" w:eastAsia="Arial" w:hAnsi="Arial"/>
                <w:b/>
                <w:bCs/>
                <w:i w:val="false"/>
                <w:iCs w:val="false"/>
                <w:color w:val="000000"/>
                <w:sz w:val="22"/>
                <w:szCs w:val="22"/>
              </w:rPr>
              <w:t xml:space="preserve">Clarity &amp; Interpretability (floor = score 3+): </w:t>
            </w:r>
            <w:r>
              <w:rPr>
                <w:rFonts w:ascii="Arial" w:cs="Arial" w:eastAsia="Arial" w:hAnsi="Arial"/>
                <w:b w:val="false"/>
                <w:bCs w:val="false"/>
                <w:i w:val="false"/>
                <w:iCs w:val="false"/>
                <w:color w:val="000000"/>
                <w:sz w:val="22"/>
                <w:szCs w:val="22"/>
              </w:rPr>
              <w:t xml:space="preserve">174 of 180 scored 3, 4, or 5. 174 ÷ 180 = 96.7%. Threshold ≥80%. PASS.</w:t>
            </w:r>
          </w:p>
          <w:p>
            <w:pPr>
              <w:spacing w:after="40" w:before="40"/>
              <w:jc w:val="left"/>
            </w:pPr>
            <w:r>
              <w:rPr>
                <w:rFonts w:ascii="Arial" w:cs="Arial" w:eastAsia="Arial" w:hAnsi="Arial"/>
                <w:b/>
                <w:bCs/>
                <w:i w:val="false"/>
                <w:iCs w:val="false"/>
                <w:color w:val="000000"/>
                <w:sz w:val="22"/>
                <w:szCs w:val="22"/>
              </w:rPr>
              <w:t xml:space="preserve">Why Clarity uses a lower floor (3+) while TC and RU require 4+: </w:t>
            </w:r>
            <w:r>
              <w:rPr>
                <w:rFonts w:ascii="Arial" w:cs="Arial" w:eastAsia="Arial" w:hAnsi="Arial"/>
                <w:b w:val="false"/>
                <w:bCs w:val="false"/>
                <w:i w:val="false"/>
                <w:iCs w:val="false"/>
                <w:color w:val="000000"/>
                <w:sz w:val="22"/>
                <w:szCs w:val="22"/>
              </w:rPr>
              <w:t xml:space="preserve">Clarity failures are typically addressable through metadata improvements — better column descriptions, cleaner view naming, synonym additions. They signal presentation quality, not SQL correctness. TC and RU directly measure whether the user's task was completed and whether the result is actionable, so a higher floor (4+ not 3+) is required at Medium risk.</w:t>
            </w:r>
          </w:p>
          <w:p>
            <w:pPr>
              <w:spacing w:after="40" w:before="40"/>
              <w:jc w:val="left"/>
            </w:pPr>
            <w:r>
              <w:rPr>
                <w:rFonts w:ascii="Arial" w:cs="Arial" w:eastAsia="Arial" w:hAnsi="Arial"/>
                <w:b/>
                <w:bCs/>
                <w:i w:val="false"/>
                <w:iCs w:val="false"/>
                <w:color w:val="000000"/>
                <w:sz w:val="22"/>
                <w:szCs w:val="22"/>
              </w:rPr>
              <w:t xml:space="preserve">Note on dimension priority: </w:t>
            </w:r>
            <w:r>
              <w:rPr>
                <w:rFonts w:ascii="Arial" w:cs="Arial" w:eastAsia="Arial" w:hAnsi="Arial"/>
                <w:b w:val="false"/>
                <w:bCs w:val="false"/>
                <w:i w:val="false"/>
                <w:iCs w:val="false"/>
                <w:color w:val="000000"/>
                <w:sz w:val="22"/>
                <w:szCs w:val="22"/>
              </w:rPr>
              <w:t xml:space="preserve">Task Completion is the primary dimension at Layer 3 — if only one dimension fails, investigate TC first. All three must pass independently. The 10 interactions scoring below 4 on Result Usefulness are the most important to diagnose, since RU is the secondary dimension and passed by the smallest margin (84% vs 80% threshold).</w:t>
            </w:r>
          </w:p>
        </w:tc>
      </w:tr>
    </w:tbl>
    <w:p>
      <w:pPr>
        <w:spacing w:after="80" w:before="0"/>
      </w:pPr>
    </w:p>
    <w:p>
      <w:pPr>
        <w:spacing w:after="80" w:before="160"/>
      </w:pPr>
      <w:r>
        <w:rPr>
          <w:rFonts w:ascii="Arial" w:cs="Arial" w:eastAsia="Arial" w:hAnsi="Arial"/>
          <w:b/>
          <w:bCs/>
          <w:i w:val="false"/>
          <w:iCs w:val="false"/>
          <w:color w:val="2E74B5"/>
          <w:sz w:val="24"/>
          <w:szCs w:val="24"/>
        </w:rPr>
        <w:t xml:space="preserve">Selected Tester Comments — Score 1 and 2 Interactions</w:t>
      </w:r>
    </w:p>
    <w:p>
      <w:pPr>
        <w:spacing w:after="60" w:before="60"/>
        <w:jc w:val="left"/>
      </w:pPr>
      <w:r>
        <w:rPr>
          <w:rFonts w:ascii="Arial" w:cs="Arial" w:eastAsia="Arial" w:hAnsi="Arial"/>
          <w:b w:val="false"/>
          <w:bCs w:val="false"/>
          <w:i w:val="false"/>
          <w:iCs w:val="false"/>
          <w:color w:val="000000"/>
          <w:sz w:val="22"/>
          <w:szCs w:val="22"/>
        </w:rPr>
        <w:t xml:space="preserve">All interactions scoring 1 or 2 on any dimension must be diagnosed. Selected examples:</w:t>
      </w:r>
    </w:p>
    <w:p>
      <w:pPr>
        <w:spacing w:after="40" w:before="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47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Question</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Dimension</w:t>
            </w:r>
          </w:p>
        </w:tc>
        <w:tc>
          <w:tcPr>
            <w:tcW w:type="dxa" w:w="7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Score</w:t>
            </w:r>
          </w:p>
        </w:tc>
        <w:tc>
          <w:tcPr>
            <w:tcW w:type="dxa" w:w="4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Tester comment and diagnosis</w:t>
            </w:r>
          </w:p>
        </w:tc>
      </w:tr>
      <w:tr>
        <w:tc>
          <w:tcPr>
            <w:tcW w:type="dxa" w:w="2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Show me top 10 borrowers by committed exposure.</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Task Completion</w:t>
            </w:r>
          </w:p>
        </w:tc>
        <w:tc>
          <w:tcPr>
            <w:tcW w:type="dxa" w:w="7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comment: 'Result showed drawn balance not committed — those are different numbers for revolving facilities.' Diagnosis: committed vs drawn exposure distinction surfacing again. Developer to add example SQL using committed_exposure field. Add to benchmark set.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What is the average loan size for commercial real estate borrowers?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Task Completion</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comment: 'Got a message saying it couldn't find commercial real estate as a category.' Diagnosis: Genie could not match 'commercial real estate' to the internal category name 'CRE'. Add entity synonym in knowledge store. Add to benchmark set.</w:t>
            </w:r>
          </w:p>
        </w:tc>
      </w:tr>
      <w:tr>
        <w:tc>
          <w:tcPr>
            <w:tcW w:type="dxa" w:w="20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Show me the portfolio maturity profile.</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 Usefulness</w:t>
            </w:r>
          </w:p>
        </w:tc>
        <w:tc>
          <w:tcPr>
            <w:tcW w:type="dxa" w:w="7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comment: 'The result was correct dates but I need maturity buckets — 0-1yr, 1-3yr, 3-5yr, 5yr+. I would have to rework this before using it.' Diagnosis: technically correct SQL but wrong output format for business use. Add example SQL with maturity bucketing to the space.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What percentage of borrowers are rated investment grade?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 Usefulness</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comment: 'The answer was 15 rows of individual rating grades — I had to add them up myself.' Diagnosis: Genie returned granular rating breakdown rather than a summary. Add example SQL grouping investment grade (BBB- and above) vs non-investment grade.</w:t>
            </w:r>
          </w:p>
        </w:tc>
      </w:tr>
    </w:tbl>
    <w:p>
      <w:pPr>
        <w:spacing w:after="80" w:before="0"/>
      </w:pPr>
    </w:p>
    <w:p>
      <w:pPr>
        <w:spacing w:after="80" w:before="160"/>
      </w:pPr>
      <w:r>
        <w:rPr>
          <w:rFonts w:ascii="Arial" w:cs="Arial" w:eastAsia="Arial" w:hAnsi="Arial"/>
          <w:b/>
          <w:bCs/>
          <w:i w:val="false"/>
          <w:iCs w:val="false"/>
          <w:color w:val="2E74B5"/>
          <w:sz w:val="24"/>
          <w:szCs w:val="24"/>
        </w:rPr>
        <w:t xml:space="preserve">Layer 3 Gate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FD8"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1D6B34"/>
                <w:sz w:val="22"/>
                <w:szCs w:val="22"/>
              </w:rPr>
              <w:t xml:space="preserve">VALIDATION GATE: PASS — Space proceeds to staged rollout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800"/>
        <w:gridCol w:w="37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Dimension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 at floor+</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Threshold</w:t>
            </w:r>
          </w:p>
        </w:tc>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w:t>
            </w:r>
          </w:p>
        </w:tc>
        <w:tc>
          <w:tcPr>
            <w:tcW w:type="dxa" w:w="3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Notes</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Task Completion</w:t>
            </w:r>
          </w:p>
        </w:tc>
        <w:tc>
          <w:tcPr>
            <w:tcW w:type="dxa" w:w="1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94%</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 score 4+</w:t>
            </w:r>
          </w:p>
        </w:tc>
        <w:tc>
          <w:tcPr>
            <w:tcW w:type="dxa" w:w="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4 interactions scored 1 or 2 — diagnosed. 2 added to benchmark set (committed exposure, CRE synonym). Fixes via knowledge store.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Result Usefulness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≥80% score 4+</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14 interactions scored 1 or 2. Most related to output format preference not wrong data. Maturity bucketing and investment grade grouping example SQL to be added.</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Clarity &amp; Interpretability</w:t>
            </w:r>
          </w:p>
        </w:tc>
        <w:tc>
          <w:tcPr>
            <w:tcW w:type="dxa" w:w="14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97%</w:t>
            </w:r>
          </w:p>
        </w:tc>
        <w:tc>
          <w:tcPr>
            <w:tcW w:type="dxa" w:w="16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≥80% score 3+</w:t>
            </w:r>
          </w:p>
        </w:tc>
        <w:tc>
          <w:tcPr>
            <w:tcW w:type="dxa" w:w="8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6 low-scoring interactions. No systematic issue identified — isolated wording and formatting preferences.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Tester completion rate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≥85%</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All 10 testers completed all 18 tasks.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000000"/>
                <w:sz w:val="22"/>
                <w:szCs w:val="22"/>
              </w:rPr>
              <w:t xml:space="preserve">Four items to complete before or during 10% rollout — none block deployment:</w:t>
            </w:r>
          </w:p>
          <w:p>
            <w:pPr>
              <w:spacing w:after="40" w:before="40"/>
              <w:jc w:val="left"/>
            </w:pPr>
            <w:r>
              <w:rPr>
                <w:rFonts w:ascii="Arial" w:cs="Arial" w:eastAsia="Arial" w:hAnsi="Arial"/>
                <w:b w:val="false"/>
                <w:bCs w:val="false"/>
                <w:i w:val="false"/>
                <w:iCs w:val="false"/>
                <w:color w:val="000000"/>
                <w:sz w:val="22"/>
                <w:szCs w:val="22"/>
              </w:rPr>
              <w:t xml:space="preserve">1. Add committed_exposure field to borrower exposure example SQL.</w:t>
            </w:r>
          </w:p>
          <w:p>
            <w:pPr>
              <w:spacing w:after="40" w:before="40"/>
              <w:jc w:val="left"/>
            </w:pPr>
            <w:r>
              <w:rPr>
                <w:rFonts w:ascii="Arial" w:cs="Arial" w:eastAsia="Arial" w:hAnsi="Arial"/>
                <w:b w:val="false"/>
                <w:bCs w:val="false"/>
                <w:i w:val="false"/>
                <w:iCs w:val="false"/>
                <w:color w:val="000000"/>
                <w:sz w:val="22"/>
                <w:szCs w:val="22"/>
              </w:rPr>
              <w:t xml:space="preserve">2. Add 'commercial real estate / CRE / CRE loans' entity synonym in knowledge store.</w:t>
            </w:r>
          </w:p>
          <w:p>
            <w:pPr>
              <w:spacing w:after="40" w:before="40"/>
              <w:jc w:val="left"/>
            </w:pPr>
            <w:r>
              <w:rPr>
                <w:rFonts w:ascii="Arial" w:cs="Arial" w:eastAsia="Arial" w:hAnsi="Arial"/>
                <w:b w:val="false"/>
                <w:bCs w:val="false"/>
                <w:i w:val="false"/>
                <w:iCs w:val="false"/>
                <w:color w:val="000000"/>
                <w:sz w:val="22"/>
                <w:szCs w:val="22"/>
              </w:rPr>
              <w:t xml:space="preserve">3. Add maturity bucketing example SQL (0-1yr, 1-3yr, 3-5yr, 5yr+).</w:t>
            </w:r>
          </w:p>
          <w:p>
            <w:pPr>
              <w:spacing w:after="40" w:before="40"/>
              <w:jc w:val="left"/>
            </w:pPr>
            <w:r>
              <w:rPr>
                <w:rFonts w:ascii="Arial" w:cs="Arial" w:eastAsia="Arial" w:hAnsi="Arial"/>
                <w:b w:val="false"/>
                <w:bCs w:val="false"/>
                <w:i w:val="false"/>
                <w:iCs w:val="false"/>
                <w:color w:val="000000"/>
                <w:sz w:val="22"/>
                <w:szCs w:val="22"/>
              </w:rPr>
              <w:t xml:space="preserve">4. Add investment grade grouping example SQL (investment grade vs non-investment grade summary).</w:t>
            </w:r>
          </w:p>
          <w:p>
            <w:pPr>
              <w:spacing w:after="40" w:before="40"/>
              <w:jc w:val="left"/>
            </w:pPr>
            <w:r>
              <w:rPr>
                <w:rFonts w:ascii="Arial" w:cs="Arial" w:eastAsia="Arial" w:hAnsi="Arial"/>
                <w:b w:val="false"/>
                <w:bCs w:val="false"/>
                <w:i w:val="false"/>
                <w:iCs w:val="false"/>
                <w:color w:val="000000"/>
                <w:sz w:val="22"/>
                <w:szCs w:val="22"/>
              </w:rPr>
              <w:t xml:space="preserve">All four must be confirmed in benchmarks before the 25% rollout gate. Two new benchmark questions added from Layer 3 (committed exposure, CRE category).</w:t>
            </w:r>
          </w:p>
        </w:tc>
      </w:tr>
    </w:tbl>
    <w:p>
      <w:pPr>
        <w:spacing w:after="80" w:before="0"/>
      </w:pPr>
    </w:p>
    <w:p>
      <w:pPr>
        <w:spacing w:after="100" w:before="200"/>
      </w:pPr>
      <w:r>
        <w:rPr>
          <w:rFonts w:ascii="Arial" w:cs="Arial" w:eastAsia="Arial" w:hAnsi="Arial"/>
          <w:b/>
          <w:bCs/>
          <w:i w:val="false"/>
          <w:iCs w:val="false"/>
          <w:color w:val="1D6B34"/>
          <w:sz w:val="28"/>
          <w:szCs w:val="28"/>
        </w:rPr>
        <w:t xml:space="preserve">Final Outcome — Example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FD8" w:val="clear"/>
            <w:tcMar>
              <w:top w:type="dxa" w:w="100"/>
              <w:left w:type="dxa" w:w="160"/>
              <w:bottom w:type="dxa" w:w="100"/>
              <w:right w:type="dxa" w:w="160"/>
            </w:tcMar>
          </w:tcPr>
          <w:p>
            <w:pPr>
              <w:spacing w:after="40" w:before="40"/>
              <w:jc w:val="left"/>
            </w:pPr>
            <w:r>
              <w:rPr>
                <w:rFonts w:ascii="Arial" w:cs="Arial" w:eastAsia="Arial" w:hAnsi="Arial"/>
                <w:b/>
                <w:bCs/>
                <w:i w:val="false"/>
                <w:iCs w:val="false"/>
                <w:color w:val="1D6B34"/>
                <w:sz w:val="22"/>
                <w:szCs w:val="22"/>
              </w:rPr>
              <w:t xml:space="preserve">DEPLOYMENT AUTHORISED — Proceed to 10% staged rollout</w:t>
            </w:r>
          </w:p>
        </w:tc>
      </w:tr>
    </w:tbl>
    <w:p>
      <w:pPr>
        <w:spacing w:after="60" w:before="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7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Layer</w:t>
            </w:r>
          </w:p>
        </w:tc>
        <w:tc>
          <w:tcPr>
            <w:tcW w:type="dxa" w:w="45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Gate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spacing w:after="40" w:before="40"/>
              <w:jc w:val="center"/>
            </w:pPr>
            <w:r>
              <w:rPr>
                <w:rFonts w:ascii="Arial" w:cs="Arial" w:eastAsia="Arial" w:hAnsi="Arial"/>
                <w:b/>
                <w:bCs/>
                <w:i w:val="false"/>
                <w:iCs w:val="false"/>
                <w:color w:val="FFFFFF"/>
                <w:sz w:val="19"/>
                <w:szCs w:val="19"/>
              </w:rPr>
              <w:t xml:space="preserve">Result</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1 — Genie Benchmarks</w:t>
            </w:r>
          </w:p>
        </w:tc>
        <w:tc>
          <w:tcPr>
            <w:tcW w:type="dxa" w:w="45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rate ≥85%</w:t>
            </w:r>
          </w:p>
        </w:tc>
        <w:tc>
          <w:tcPr>
            <w:tcW w:type="dxa" w:w="2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  (95.0%)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2 — SME Structured Review</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All per-dimension thresholds cleared, zero Policy/Compliance FAILs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Layer 3 — Business User Pilot</w:t>
            </w:r>
          </w:p>
        </w:tc>
        <w:tc>
          <w:tcPr>
            <w:tcW w:type="dxa" w:w="450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All per-dimension thresholds cleared, tester completion rate met</w:t>
            </w:r>
          </w:p>
        </w:tc>
        <w:tc>
          <w:tcPr>
            <w:tcW w:type="dxa" w:w="2760"/>
            <w:tcBorders>
              <w:top w:val="single" w:color="CCCCCC" w:sz="4"/>
              <w:left w:val="single" w:color="CCCCCC" w:sz="4"/>
              <w:bottom w:val="single" w:color="CCCCCC" w:sz="4"/>
              <w:right w:val="single" w:color="CCCCCC" w:sz="4"/>
            </w:tcBorders>
            <w:shd w:fill="F5F8FC"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Staged rollout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10% → 25% → 50% → 100%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i w:val="false"/>
                <w:iCs w:val="false"/>
                <w:color w:val="000000"/>
                <w:sz w:val="20"/>
                <w:szCs w:val="20"/>
              </w:rPr>
              <w:t xml:space="preserve">AUTHORISED — begin 10% rollout with four improvement items tracked</w:t>
            </w:r>
          </w:p>
        </w:tc>
      </w:tr>
    </w:tbl>
    <w:p>
      <w:pPr>
        <w:spacing w:after="10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2026-06-02T20:04:59.151Z</dcterms:created>
  <dcterms:modified xsi:type="dcterms:W3CDTF">2026-06-02T20:04:59.166Z</dcterms:modified>
</cp:coreProperties>
</file>

<file path=docProps/custom.xml><?xml version="1.0" encoding="utf-8"?>
<Properties xmlns="http://schemas.openxmlformats.org/officeDocument/2006/custom-properties" xmlns:vt="http://schemas.openxmlformats.org/officeDocument/2006/docPropsVTypes"/>
</file>