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Competitor Annual Financial Report</w:t>
      </w:r>
    </w:p>
    <w:p>
      <w:r>
        <w:t>Company: RivalBike Co</w:t>
      </w:r>
    </w:p>
    <w:p>
      <w:r>
        <w:t>Revenue: $12,000,000</w:t>
        <w:br/>
        <w:t>Profit: $2,500,000</w:t>
        <w:br/>
        <w:t>Year: 2024</w:t>
        <w:br/>
        <w:br/>
        <w:t>Summary:</w:t>
        <w:br/>
        <w:t>RivalBike Co maintained a steady growth with an increase in market coverage. Plans to expand to ASEAN market in Q3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