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21C" w:rsidRPr="005B4CFB" w:rsidRDefault="005B4CFB" w:rsidP="005B4CFB">
      <w:pPr>
        <w:pStyle w:val="Titel"/>
        <w:rPr>
          <w:rFonts w:eastAsia="Times New Roman"/>
          <w:lang w:eastAsia="nl-NL"/>
        </w:rPr>
      </w:pPr>
      <w:r w:rsidRPr="005B4CFB">
        <w:rPr>
          <w:rFonts w:eastAsia="Times New Roman"/>
          <w:lang w:eastAsia="nl-NL"/>
        </w:rPr>
        <w:t>Efficiëntie</w:t>
      </w:r>
      <w:r w:rsidR="0034021C" w:rsidRPr="005B4CFB">
        <w:rPr>
          <w:rFonts w:eastAsia="Times New Roman"/>
          <w:lang w:eastAsia="nl-NL"/>
        </w:rPr>
        <w:t xml:space="preserve"> van verlichtingsbronnen</w:t>
      </w:r>
    </w:p>
    <w:p w:rsidR="005B4CFB" w:rsidRPr="00433618" w:rsidRDefault="005B4CFB" w:rsidP="00340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nl-NL"/>
        </w:rPr>
      </w:pPr>
      <w:r w:rsidRPr="005B4CF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Bron: </w:t>
      </w:r>
      <w:hyperlink r:id="rId4" w:history="1">
        <w:r w:rsidRPr="00433618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nl-NL"/>
          </w:rPr>
          <w:t>https://en.wikipedia.org/wiki/Luminous_efficacy</w:t>
        </w:r>
      </w:hyperlink>
    </w:p>
    <w:p w:rsidR="005B4CFB" w:rsidRPr="005B4CFB" w:rsidRDefault="005B4CFB" w:rsidP="00340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B4CF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Deze tabel beschrijft de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efficiëntie van verschillende </w:t>
      </w:r>
      <w:r w:rsidRPr="0043361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lichtbronnen. De </w:t>
      </w:r>
      <w:proofErr w:type="spellStart"/>
      <w:r w:rsidRPr="00433618">
        <w:rPr>
          <w:rFonts w:ascii="Times New Roman" w:eastAsia="Times New Roman" w:hAnsi="Times New Roman" w:cs="Times New Roman"/>
          <w:sz w:val="24"/>
          <w:szCs w:val="24"/>
          <w:lang w:eastAsia="nl-NL"/>
        </w:rPr>
        <w:t>efficiënties</w:t>
      </w:r>
      <w:proofErr w:type="spellEnd"/>
      <w:r w:rsidRPr="0043361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zijn vermeld zonder rekening te houden met de verliezen in de eventueel benodigde </w:t>
      </w:r>
      <w:proofErr w:type="spellStart"/>
      <w:r w:rsidRPr="00433618">
        <w:rPr>
          <w:rFonts w:ascii="Times New Roman" w:eastAsia="Times New Roman" w:hAnsi="Times New Roman" w:cs="Times New Roman"/>
          <w:sz w:val="24"/>
          <w:szCs w:val="24"/>
          <w:lang w:eastAsia="nl-NL"/>
        </w:rPr>
        <w:t>voorschakelapparaten</w:t>
      </w:r>
      <w:proofErr w:type="spellEnd"/>
      <w:r w:rsidRPr="00433618">
        <w:rPr>
          <w:rFonts w:ascii="Times New Roman" w:eastAsia="Times New Roman" w:hAnsi="Times New Roman" w:cs="Times New Roman"/>
          <w:sz w:val="24"/>
          <w:szCs w:val="24"/>
          <w:lang w:eastAsia="nl-NL"/>
        </w:rPr>
        <w:t>. In de praktijk zal de efficiëntie dus lager zijn.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6"/>
        <w:gridCol w:w="4614"/>
        <w:gridCol w:w="1410"/>
        <w:gridCol w:w="1232"/>
      </w:tblGrid>
      <w:tr w:rsidR="00015371" w:rsidRPr="0034021C" w:rsidTr="003402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21C" w:rsidRPr="0034021C" w:rsidRDefault="00433618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nl-NL"/>
              </w:rPr>
              <w:t>Categorie</w:t>
            </w:r>
            <w:r w:rsidR="0034021C" w:rsidRPr="003402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nl-N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nl-NL"/>
              </w:rPr>
              <w:t>Type</w:t>
            </w:r>
            <w:r w:rsidRPr="003402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nl-N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nl-NL"/>
              </w:rPr>
              <w:t>Overall</w:t>
            </w:r>
            <w:r w:rsidRPr="0034021C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nl-NL"/>
              </w:rPr>
              <w:br/>
              <w:t>luminous efficacy (lm/W)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5B4C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nl-NL"/>
              </w:rPr>
              <w:t>Overall</w:t>
            </w:r>
            <w:r w:rsidRPr="003402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nl-NL"/>
              </w:rPr>
              <w:br/>
            </w:r>
            <w:proofErr w:type="spellStart"/>
            <w:r w:rsidRPr="003402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nl-NL"/>
              </w:rPr>
              <w:t>luminous</w:t>
            </w:r>
            <w:proofErr w:type="spellEnd"/>
            <w:r w:rsidRPr="0034021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nl-NL"/>
              </w:rPr>
              <w:t xml:space="preserve"> efficiency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C489C" w:rsidRDefault="006C489C" w:rsidP="006C4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Verbranding</w:t>
            </w:r>
          </w:p>
          <w:p w:rsidR="006C489C" w:rsidRPr="0034021C" w:rsidRDefault="006C489C" w:rsidP="006C489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</w:pPr>
            <w:r w:rsidRPr="006C489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(</w:t>
            </w:r>
            <w:proofErr w:type="spellStart"/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Combustion</w:t>
            </w:r>
            <w:proofErr w:type="spellEnd"/>
            <w:r w:rsidRPr="006C489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5B4CFB" w:rsidP="005B4C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6C489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kaars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5B4C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0.04%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BF26F0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6C489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gasmantel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0.15–0.3%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15371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Gloeilamp</w:t>
            </w:r>
          </w:p>
          <w:p w:rsidR="0034021C" w:rsidRPr="0034021C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</w:pPr>
            <w:r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(</w:t>
            </w:r>
            <w:proofErr w:type="spellStart"/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fldChar w:fldCharType="begin"/>
            </w:r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instrText xml:space="preserve"> HYPERLINK "https://en.wikipedia.org/wiki/Incandescent_light_bulb" \o "Incandescent light bulb" </w:instrText>
            </w:r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fldChar w:fldCharType="separate"/>
            </w:r>
            <w:r w:rsidR="0034021C"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Incandescent</w:t>
            </w:r>
            <w:proofErr w:type="spellEnd"/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fldChar w:fldCharType="end"/>
            </w:r>
            <w:r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100–200 W </w:t>
            </w: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tungsten</w:t>
            </w:r>
            <w:proofErr w:type="spellEnd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incandescent</w:t>
            </w:r>
            <w:proofErr w:type="spellEnd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(230 V)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5B4C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13.8–15.2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2–2.2%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da-DK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da-DK" w:eastAsia="nl-NL"/>
              </w:rPr>
              <w:t>100–200–500 W tungsten glass halogen (230 V)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16.7–17.6</w:t>
            </w:r>
            <w:r w:rsidR="00F960EE" w:rsidRPr="006C489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-</w:t>
            </w: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19.8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2.4–2.6–2.9%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5–40–100 W </w:t>
            </w: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tungsten</w:t>
            </w:r>
            <w:proofErr w:type="spellEnd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incandescent</w:t>
            </w:r>
            <w:proofErr w:type="spellEnd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(120 V)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5–12.6–17.5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0.7–1.8–2.6%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da-DK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da-DK" w:eastAsia="nl-NL"/>
              </w:rPr>
              <w:t>2.6 W tungsten glass halogen (5.2 V)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19.2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2.8%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tungsten</w:t>
            </w:r>
            <w:proofErr w:type="spellEnd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quartz</w:t>
            </w:r>
            <w:proofErr w:type="spellEnd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halogen (12–24 V)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3.5%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photographic</w:t>
            </w:r>
            <w:proofErr w:type="spellEnd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and </w:t>
            </w: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projection</w:t>
            </w:r>
            <w:proofErr w:type="spellEnd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lamps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5.1%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15371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Lichtgevende diode</w:t>
            </w:r>
          </w:p>
          <w:p w:rsidR="0034021C" w:rsidRPr="0034021C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 xml:space="preserve">(LED - </w:t>
            </w:r>
            <w:hyperlink r:id="rId5" w:tooltip="Light-emitting diode" w:history="1">
              <w:proofErr w:type="spellStart"/>
              <w:r w:rsidR="0034021C" w:rsidRPr="00015371">
                <w:rPr>
                  <w:rFonts w:ascii="Arial" w:eastAsia="Times New Roman" w:hAnsi="Arial" w:cs="Arial"/>
                  <w:i/>
                  <w:sz w:val="16"/>
                  <w:szCs w:val="16"/>
                  <w:lang w:eastAsia="nl-NL"/>
                </w:rPr>
                <w:t>Light-emitting</w:t>
              </w:r>
              <w:proofErr w:type="spellEnd"/>
              <w:r w:rsidR="0034021C" w:rsidRPr="00015371">
                <w:rPr>
                  <w:rFonts w:ascii="Arial" w:eastAsia="Times New Roman" w:hAnsi="Arial" w:cs="Arial"/>
                  <w:i/>
                  <w:sz w:val="16"/>
                  <w:szCs w:val="16"/>
                  <w:lang w:eastAsia="nl-NL"/>
                </w:rPr>
                <w:t xml:space="preserve"> diode</w:t>
              </w:r>
            </w:hyperlink>
            <w:r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>white LED (raw, without power supply)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5B4C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4.5–150 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0.66–22%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4.1 W LED </w:t>
            </w:r>
            <w:hyperlink r:id="rId6" w:tooltip="Edison screw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val="en-US" w:eastAsia="nl-NL"/>
                </w:rPr>
                <w:t>screw base</w:t>
              </w:r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 lamp (120 V)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58.5–82.9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8.6–12%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>5.4 W LED screw base lamp (100 V 50/60 Hz)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101.9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14.9%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>6.9 W LED screw base lamp (120 V)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55.1–81.9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8.1–12%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7 W LED </w:t>
            </w:r>
            <w:hyperlink r:id="rId7" w:tooltip="Parabolic aluminized reflector light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PAR20</w:t>
              </w:r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(120 V)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28.6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4.2%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7 W LED </w:t>
            </w:r>
            <w:hyperlink r:id="rId8" w:tooltip="Parabolic aluminized reflector light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PAR30</w:t>
              </w:r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(110-230 V)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8.8%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>8.7 W LED screw base lamp (120 V)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69–93.1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10.1–13.6%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>Theoretical limit for a white LED with phosphorescence color mixing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260–300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38.1–43.9%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15371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Booglamp</w:t>
            </w:r>
          </w:p>
          <w:p w:rsidR="0034021C" w:rsidRPr="0034021C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(</w:t>
            </w:r>
            <w:proofErr w:type="spellStart"/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fldChar w:fldCharType="begin"/>
            </w:r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instrText xml:space="preserve"> HYPERLINK "https://en.wikipedia.org/wiki/Arc_lamp" \o "Arc lamp" </w:instrText>
            </w:r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fldChar w:fldCharType="separate"/>
            </w:r>
            <w:r w:rsidR="0034021C"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Arc</w:t>
            </w:r>
            <w:proofErr w:type="spellEnd"/>
            <w:r w:rsidR="0034021C"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 xml:space="preserve"> lamp</w:t>
            </w:r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fldChar w:fldCharType="end"/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hyperlink r:id="rId9" w:tooltip="Carbon arc lamp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carbon </w:t>
              </w:r>
              <w:proofErr w:type="spellStart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arc</w:t>
              </w:r>
              <w:proofErr w:type="spellEnd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lamp</w:t>
              </w:r>
            </w:hyperlink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2-7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0.29-1.0%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hyperlink r:id="rId10" w:tooltip="Xenon arc lamp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xenon </w:t>
              </w:r>
              <w:proofErr w:type="spellStart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arc</w:t>
              </w:r>
              <w:proofErr w:type="spellEnd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lamp</w:t>
              </w:r>
            </w:hyperlink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30–50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4.4–7.3%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hyperlink r:id="rId11" w:tooltip="Mercury (element)" w:history="1">
              <w:proofErr w:type="spellStart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mercury</w:t>
              </w:r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-</w:t>
            </w:r>
            <w:hyperlink r:id="rId12" w:tooltip="Xenon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xenon</w:t>
              </w:r>
              <w:proofErr w:type="spellEnd"/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arc</w:t>
            </w:r>
            <w:proofErr w:type="spellEnd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lamp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F960E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50–55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7.3–8%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hyperlink r:id="rId13" w:tooltip="Ultra-high-performance lamp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val="en-US" w:eastAsia="nl-NL"/>
                </w:rPr>
                <w:t>UHP</w:t>
              </w:r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 – ultra-high-pressure </w:t>
            </w:r>
            <w:hyperlink r:id="rId14" w:tooltip="Mercury-vapor lamp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val="en-US" w:eastAsia="nl-NL"/>
                </w:rPr>
                <w:t>mercury-vapor</w:t>
              </w:r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 arc lamp: initial, free mounted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58–78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8.5–11.4%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UHP – ultra-high-pressure mercury-vapor arc lamp: rated, with reflector for </w:t>
            </w:r>
            <w:hyperlink r:id="rId15" w:tooltip="Digital Light Processing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val="en-US" w:eastAsia="nl-NL"/>
                </w:rPr>
                <w:t>projectors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30–50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4.4–7.3%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15371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Fluorescentie</w:t>
            </w:r>
          </w:p>
          <w:p w:rsidR="0034021C" w:rsidRPr="0034021C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(</w:t>
            </w:r>
            <w:hyperlink r:id="rId16" w:tooltip="Fluorescent lamp" w:history="1">
              <w:r w:rsidR="0034021C" w:rsidRPr="00015371">
                <w:rPr>
                  <w:rFonts w:ascii="Arial" w:eastAsia="Times New Roman" w:hAnsi="Arial" w:cs="Arial"/>
                  <w:i/>
                  <w:sz w:val="16"/>
                  <w:szCs w:val="16"/>
                  <w:lang w:eastAsia="nl-NL"/>
                </w:rPr>
                <w:t>Fluorescent</w:t>
              </w:r>
            </w:hyperlink>
            <w:r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hyperlink r:id="rId17" w:tooltip="Vacuum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val="en-US" w:eastAsia="nl-NL"/>
                </w:rPr>
                <w:t>very low</w:t>
              </w:r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 </w:t>
            </w:r>
            <w:hyperlink r:id="rId18" w:tooltip="Pressure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val="en-US" w:eastAsia="nl-NL"/>
                </w:rPr>
                <w:t>pressure</w:t>
              </w:r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 </w:t>
            </w:r>
            <w:hyperlink r:id="rId19" w:tooltip="Mercury-vapor lamp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val="en-US" w:eastAsia="nl-NL"/>
                </w:rPr>
                <w:t>mercury-vapor</w:t>
              </w:r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 </w:t>
            </w:r>
            <w:hyperlink r:id="rId20" w:tooltip="Gas-discharge lamp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val="en-US" w:eastAsia="nl-NL"/>
                </w:rPr>
                <w:t>gas-discharge lamp</w:t>
              </w:r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 with </w:t>
            </w:r>
            <w:hyperlink r:id="rId21" w:tooltip="Fluorescence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val="en-US" w:eastAsia="nl-NL"/>
                </w:rPr>
                <w:t>fluorescence</w:t>
              </w:r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 as T12 tube with magnetic ballast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9%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9–32 W </w:t>
            </w:r>
            <w:hyperlink r:id="rId22" w:tooltip="Compact fluorescent lamp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val="en-US" w:eastAsia="nl-NL"/>
                </w:rPr>
                <w:t>compact fluorescent</w:t>
              </w:r>
            </w:hyperlink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 (with ballast)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46–75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5B4C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8–11.45%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>T8 tube with electronic ballast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80–100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12–15%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>PL-S 11 W U-tube, excluding ballast loss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12%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T5 tube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70–104.2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10–15.63%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70-150W Inductively Coupled </w:t>
            </w: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>Electrodeless</w:t>
            </w:r>
            <w:proofErr w:type="spellEnd"/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 xml:space="preserve"> Lighting System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71-84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10-12%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15371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Gasontlading</w:t>
            </w:r>
          </w:p>
          <w:p w:rsidR="0034021C" w:rsidRPr="0034021C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(</w:t>
            </w:r>
            <w:hyperlink r:id="rId23" w:tooltip="Gas-discharge lamp" w:history="1">
              <w:r w:rsidR="0034021C" w:rsidRPr="00015371">
                <w:rPr>
                  <w:rFonts w:ascii="Arial" w:eastAsia="Times New Roman" w:hAnsi="Arial" w:cs="Arial"/>
                  <w:i/>
                  <w:sz w:val="16"/>
                  <w:szCs w:val="16"/>
                  <w:lang w:eastAsia="nl-NL"/>
                </w:rPr>
                <w:t>Gas discharge</w:t>
              </w:r>
            </w:hyperlink>
            <w:r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1400 W </w:t>
            </w:r>
            <w:hyperlink r:id="rId24" w:tooltip="Sulfur lamp" w:history="1">
              <w:proofErr w:type="spellStart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sulfur</w:t>
              </w:r>
              <w:proofErr w:type="spellEnd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lamp</w:t>
              </w:r>
            </w:hyperlink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15%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hyperlink r:id="rId25" w:tooltip="Metal halide lamp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metal </w:t>
              </w:r>
              <w:proofErr w:type="spellStart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halide</w:t>
              </w:r>
              <w:proofErr w:type="spellEnd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lamp</w:t>
              </w:r>
            </w:hyperlink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65–115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9.5–17%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hyperlink r:id="rId26" w:anchor="High_pressure_.2F_HPS_.2F_SON" w:tooltip="Sodium vapor lamp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high </w:t>
              </w:r>
              <w:proofErr w:type="spellStart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pressure</w:t>
              </w:r>
              <w:proofErr w:type="spellEnd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</w:t>
              </w:r>
              <w:proofErr w:type="spellStart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sodium</w:t>
              </w:r>
              <w:proofErr w:type="spellEnd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lamp</w:t>
              </w:r>
            </w:hyperlink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85–150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12–22%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hyperlink r:id="rId27" w:anchor="Low_pressure_.2F_LPS_.2F_SOX" w:tooltip="Sodium vapor lamp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low </w:t>
              </w:r>
              <w:proofErr w:type="spellStart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pressure</w:t>
              </w:r>
              <w:proofErr w:type="spellEnd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</w:t>
              </w:r>
              <w:proofErr w:type="spellStart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sodium</w:t>
              </w:r>
              <w:proofErr w:type="spellEnd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lamp</w:t>
              </w:r>
            </w:hyperlink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100–200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15–29%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hyperlink r:id="rId28" w:tooltip="Plasma display panel" w:history="1"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Plasma display panel</w:t>
              </w:r>
            </w:hyperlink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2-10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0.3–1.5%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5371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K</w:t>
            </w:r>
            <w:r w:rsidRPr="00015371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athodeluminescentie</w:t>
            </w:r>
          </w:p>
          <w:p w:rsidR="0034021C" w:rsidRPr="0034021C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(</w:t>
            </w:r>
            <w:proofErr w:type="spellStart"/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fldChar w:fldCharType="begin"/>
            </w:r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instrText xml:space="preserve"> HYPERLINK "https://en.wikipedia.org/wiki/Electron_stimulated_luminescence" \o "Electron stimulated luminescence" </w:instrText>
            </w:r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fldChar w:fldCharType="separate"/>
            </w:r>
            <w:r w:rsidR="0034021C"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Cathodoluminescence</w:t>
            </w:r>
            <w:proofErr w:type="spellEnd"/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fldChar w:fldCharType="end"/>
            </w:r>
            <w:r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hyperlink r:id="rId29" w:tooltip="Electron stimulated luminescence" w:history="1">
              <w:proofErr w:type="spellStart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electron</w:t>
              </w:r>
              <w:proofErr w:type="spellEnd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</w:t>
              </w:r>
              <w:proofErr w:type="spellStart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stimulated</w:t>
              </w:r>
              <w:proofErr w:type="spellEnd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</w:t>
              </w:r>
              <w:proofErr w:type="spellStart"/>
              <w:r w:rsidRPr="006C489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nl-NL"/>
                </w:rPr>
                <w:t>luminescence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6C48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5%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15371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Ideale bronnen</w:t>
            </w:r>
          </w:p>
          <w:p w:rsidR="0034021C" w:rsidRPr="0034021C" w:rsidRDefault="00015371" w:rsidP="003402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(</w:t>
            </w:r>
            <w:proofErr w:type="spellStart"/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Ideal</w:t>
            </w:r>
            <w:proofErr w:type="spellEnd"/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="0034021C" w:rsidRPr="0034021C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sources</w:t>
            </w:r>
            <w:proofErr w:type="spellEnd"/>
            <w:r w:rsidRPr="00015371">
              <w:rPr>
                <w:rFonts w:ascii="Arial" w:eastAsia="Times New Roman" w:hAnsi="Arial" w:cs="Arial"/>
                <w:i/>
                <w:sz w:val="16"/>
                <w:szCs w:val="16"/>
                <w:lang w:eastAsia="nl-N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43361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Truncated</w:t>
            </w:r>
            <w:proofErr w:type="spellEnd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5800 K </w:t>
            </w:r>
            <w:proofErr w:type="spellStart"/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blackbody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43361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37%</w:t>
            </w:r>
          </w:p>
        </w:tc>
      </w:tr>
      <w:tr w:rsidR="00015371" w:rsidRPr="0034021C" w:rsidTr="003402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val="en-US" w:eastAsia="nl-NL"/>
              </w:rPr>
              <w:t>Green light at 555 nm (maximum possible luminous efficacy)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43361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683.002</w:t>
            </w:r>
          </w:p>
        </w:tc>
        <w:tc>
          <w:tcPr>
            <w:tcW w:w="0" w:type="auto"/>
            <w:vAlign w:val="center"/>
            <w:hideMark/>
          </w:tcPr>
          <w:p w:rsidR="0034021C" w:rsidRPr="0034021C" w:rsidRDefault="0034021C" w:rsidP="0034021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34021C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100%</w:t>
            </w:r>
          </w:p>
        </w:tc>
      </w:tr>
    </w:tbl>
    <w:p w:rsidR="007565FE" w:rsidRDefault="007565FE"/>
    <w:sectPr w:rsidR="007565FE" w:rsidSect="00756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5"/>
  <w:proofState w:spelling="clean"/>
  <w:defaultTabStop w:val="708"/>
  <w:hyphenationZone w:val="425"/>
  <w:characterSpacingControl w:val="doNotCompress"/>
  <w:compat/>
  <w:rsids>
    <w:rsidRoot w:val="0034021C"/>
    <w:rsid w:val="00015371"/>
    <w:rsid w:val="0034021C"/>
    <w:rsid w:val="00433618"/>
    <w:rsid w:val="005B4CFB"/>
    <w:rsid w:val="006C489C"/>
    <w:rsid w:val="007565FE"/>
    <w:rsid w:val="00BF26F0"/>
    <w:rsid w:val="00F96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565F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4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34021C"/>
    <w:rPr>
      <w:color w:val="0000FF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B4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B4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rabolic_aluminized_reflector_light" TargetMode="External"/><Relationship Id="rId13" Type="http://schemas.openxmlformats.org/officeDocument/2006/relationships/hyperlink" Target="https://en.wikipedia.org/wiki/Ultra-high-performance_lamp" TargetMode="External"/><Relationship Id="rId18" Type="http://schemas.openxmlformats.org/officeDocument/2006/relationships/hyperlink" Target="https://en.wikipedia.org/wiki/Pressure" TargetMode="External"/><Relationship Id="rId26" Type="http://schemas.openxmlformats.org/officeDocument/2006/relationships/hyperlink" Target="https://en.wikipedia.org/wiki/Sodium_vapor_lam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Fluorescence" TargetMode="External"/><Relationship Id="rId7" Type="http://schemas.openxmlformats.org/officeDocument/2006/relationships/hyperlink" Target="https://en.wikipedia.org/wiki/Parabolic_aluminized_reflector_light" TargetMode="External"/><Relationship Id="rId12" Type="http://schemas.openxmlformats.org/officeDocument/2006/relationships/hyperlink" Target="https://en.wikipedia.org/wiki/Xenon" TargetMode="External"/><Relationship Id="rId17" Type="http://schemas.openxmlformats.org/officeDocument/2006/relationships/hyperlink" Target="https://en.wikipedia.org/wiki/Vacuum" TargetMode="External"/><Relationship Id="rId25" Type="http://schemas.openxmlformats.org/officeDocument/2006/relationships/hyperlink" Target="https://en.wikipedia.org/wiki/Metal_halide_lam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luorescent_lamp" TargetMode="External"/><Relationship Id="rId20" Type="http://schemas.openxmlformats.org/officeDocument/2006/relationships/hyperlink" Target="https://en.wikipedia.org/wiki/Gas-discharge_lamp" TargetMode="External"/><Relationship Id="rId29" Type="http://schemas.openxmlformats.org/officeDocument/2006/relationships/hyperlink" Target="https://en.wikipedia.org/wiki/Electron_stimulated_luminescenc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Edison_screw" TargetMode="External"/><Relationship Id="rId11" Type="http://schemas.openxmlformats.org/officeDocument/2006/relationships/hyperlink" Target="https://en.wikipedia.org/wiki/Mercury_%28element%29" TargetMode="External"/><Relationship Id="rId24" Type="http://schemas.openxmlformats.org/officeDocument/2006/relationships/hyperlink" Target="https://en.wikipedia.org/wiki/Sulfur_lamp" TargetMode="External"/><Relationship Id="rId5" Type="http://schemas.openxmlformats.org/officeDocument/2006/relationships/hyperlink" Target="https://en.wikipedia.org/wiki/Light-emitting_diode" TargetMode="External"/><Relationship Id="rId15" Type="http://schemas.openxmlformats.org/officeDocument/2006/relationships/hyperlink" Target="https://en.wikipedia.org/wiki/Digital_Light_Processing" TargetMode="External"/><Relationship Id="rId23" Type="http://schemas.openxmlformats.org/officeDocument/2006/relationships/hyperlink" Target="https://en.wikipedia.org/wiki/Gas-discharge_lamp" TargetMode="External"/><Relationship Id="rId28" Type="http://schemas.openxmlformats.org/officeDocument/2006/relationships/hyperlink" Target="https://en.wikipedia.org/wiki/Plasma_display_panel" TargetMode="External"/><Relationship Id="rId10" Type="http://schemas.openxmlformats.org/officeDocument/2006/relationships/hyperlink" Target="https://en.wikipedia.org/wiki/Xenon_arc_lamp" TargetMode="External"/><Relationship Id="rId19" Type="http://schemas.openxmlformats.org/officeDocument/2006/relationships/hyperlink" Target="https://en.wikipedia.org/wiki/Mercury-vapor_lamp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en.wikipedia.org/wiki/Luminous_efficacy" TargetMode="External"/><Relationship Id="rId9" Type="http://schemas.openxmlformats.org/officeDocument/2006/relationships/hyperlink" Target="https://en.wikipedia.org/wiki/Carbon_arc_lamp" TargetMode="External"/><Relationship Id="rId14" Type="http://schemas.openxmlformats.org/officeDocument/2006/relationships/hyperlink" Target="https://en.wikipedia.org/wiki/Mercury-vapor_lamp" TargetMode="External"/><Relationship Id="rId22" Type="http://schemas.openxmlformats.org/officeDocument/2006/relationships/hyperlink" Target="https://en.wikipedia.org/wiki/Compact_fluorescent_lamp" TargetMode="External"/><Relationship Id="rId27" Type="http://schemas.openxmlformats.org/officeDocument/2006/relationships/hyperlink" Target="https://en.wikipedia.org/wiki/Sodium_vapor_lam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5</cp:revision>
  <dcterms:created xsi:type="dcterms:W3CDTF">2016-01-09T14:28:00Z</dcterms:created>
  <dcterms:modified xsi:type="dcterms:W3CDTF">2016-01-09T15:18:00Z</dcterms:modified>
</cp:coreProperties>
</file>