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36"/>
          <w:szCs w:val="36"/>
        </w:rPr>
        <w:t xml:space="preserve">SAK FY2026 Interim Audit Closing – Meeting Script</w:t>
      </w:r>
    </w:p>
    <w:p>
      <w:pPr>
        <w:spacing w:after="240"/>
      </w:pPr>
      <w:r>
        <w:rPr>
          <w:rFonts w:ascii="Arial" w:cs="Arial" w:eastAsia="Arial" w:hAnsi="Arial"/>
          <w:i/>
          <w:iCs/>
          <w:color w:val="666666"/>
          <w:sz w:val="20"/>
          <w:szCs w:val="20"/>
        </w:rPr>
        <w:t xml:space="preserve">Short sentences, numbers written as you would say them (e.g. 2.9 billion won). Lines starting with a bullet can be read as a list.</w:t>
      </w:r>
    </w:p>
    <w:p>
      <w:pPr>
        <w:pStyle w:val="Heading1"/>
        <w:pBdr>
          <w:bottom w:val="single" w:color="1F5FBF" w:sz="6" w:space="2"/>
        </w:pBdr>
        <w:spacing w:after="120" w:before="300"/>
      </w:pPr>
      <w:r>
        <w:rPr>
          <w:rFonts w:ascii="Arial" w:cs="Arial" w:eastAsia="Arial" w:hAnsi="Arial"/>
          <w:b/>
          <w:bCs/>
          <w:color w:val="1F5FBF"/>
          <w:sz w:val="26"/>
          <w:szCs w:val="26"/>
        </w:rPr>
        <w:t xml:space="preserve">Slide 1 – Title</w:t>
      </w:r>
    </w:p>
    <w:p>
      <w:pPr>
        <w:spacing w:after="120"/>
      </w:pPr>
      <w:r>
        <w:rPr>
          <w:rFonts w:ascii="Arial" w:cs="Arial" w:eastAsia="Arial" w:hAnsi="Arial"/>
          <w:sz w:val="22"/>
          <w:szCs w:val="22"/>
        </w:rPr>
        <w:t xml:space="preserve">Good morning, everyone. Thank you for your time today.</w:t>
      </w:r>
    </w:p>
    <w:p>
      <w:pPr>
        <w:spacing w:after="120"/>
      </w:pPr>
      <w:r>
        <w:rPr>
          <w:rFonts w:ascii="Arial" w:cs="Arial" w:eastAsia="Arial" w:hAnsi="Arial"/>
          <w:sz w:val="22"/>
          <w:szCs w:val="22"/>
        </w:rPr>
        <w:t xml:space="preserve">We’d like to walk you through the results of our FY2026 interim audit. The fieldwork was done in October, based on the September financial statements.</w:t>
      </w:r>
    </w:p>
    <w:p>
      <w:pPr>
        <w:pStyle w:val="Heading1"/>
        <w:pBdr>
          <w:bottom w:val="single" w:color="1F5FBF" w:sz="6" w:space="2"/>
        </w:pBdr>
        <w:spacing w:after="120" w:before="300"/>
      </w:pPr>
      <w:r>
        <w:rPr>
          <w:rFonts w:ascii="Arial" w:cs="Arial" w:eastAsia="Arial" w:hAnsi="Arial"/>
          <w:b/>
          <w:bCs/>
          <w:color w:val="1F5FBF"/>
          <w:sz w:val="26"/>
          <w:szCs w:val="26"/>
        </w:rPr>
        <w:t xml:space="preserve">Slide 2 – Agenda</w:t>
      </w:r>
    </w:p>
    <w:p>
      <w:pPr>
        <w:spacing w:after="120"/>
      </w:pPr>
      <w:r>
        <w:rPr>
          <w:rFonts w:ascii="Arial" w:cs="Arial" w:eastAsia="Arial" w:hAnsi="Arial"/>
          <w:sz w:val="22"/>
          <w:szCs w:val="22"/>
        </w:rPr>
        <w:t xml:space="preserve">Here’s the agenda. We’ll cover five things:</w:t>
      </w:r>
    </w:p>
    <w:p>
      <w:pPr>
        <w:pStyle w:val="ListParagraph"/>
        <w:numPr>
          <w:ilvl w:val="0"/>
          <w:numId w:val="2"/>
        </w:numPr>
        <w:spacing w:after="80"/>
      </w:pPr>
      <w:r>
        <w:rPr>
          <w:rFonts w:ascii="Arial" w:cs="Arial" w:eastAsia="Arial" w:hAnsi="Arial"/>
          <w:sz w:val="22"/>
          <w:szCs w:val="22"/>
        </w:rPr>
        <w:t xml:space="preserve">First, the audit schedule.</w:t>
      </w:r>
    </w:p>
    <w:p>
      <w:pPr>
        <w:pStyle w:val="ListParagraph"/>
        <w:numPr>
          <w:ilvl w:val="0"/>
          <w:numId w:val="2"/>
        </w:numPr>
        <w:spacing w:after="80"/>
      </w:pPr>
      <w:r>
        <w:rPr>
          <w:rFonts w:ascii="Arial" w:cs="Arial" w:eastAsia="Arial" w:hAnsi="Arial"/>
          <w:sz w:val="22"/>
          <w:szCs w:val="22"/>
        </w:rPr>
        <w:t xml:space="preserve">Second, the results of our walkthroughs and control testing.</w:t>
      </w:r>
    </w:p>
    <w:p>
      <w:pPr>
        <w:pStyle w:val="ListParagraph"/>
        <w:numPr>
          <w:ilvl w:val="0"/>
          <w:numId w:val="2"/>
        </w:numPr>
        <w:spacing w:after="80"/>
      </w:pPr>
      <w:r>
        <w:rPr>
          <w:rFonts w:ascii="Arial" w:cs="Arial" w:eastAsia="Arial" w:hAnsi="Arial"/>
          <w:sz w:val="22"/>
          <w:szCs w:val="22"/>
        </w:rPr>
        <w:t xml:space="preserve">Third, follow-up on last year’s findings.</w:t>
      </w:r>
    </w:p>
    <w:p>
      <w:pPr>
        <w:pStyle w:val="ListParagraph"/>
        <w:numPr>
          <w:ilvl w:val="0"/>
          <w:numId w:val="2"/>
        </w:numPr>
        <w:spacing w:after="80"/>
      </w:pPr>
      <w:r>
        <w:rPr>
          <w:rFonts w:ascii="Arial" w:cs="Arial" w:eastAsia="Arial" w:hAnsi="Arial"/>
          <w:sz w:val="22"/>
          <w:szCs w:val="22"/>
        </w:rPr>
        <w:t xml:space="preserve">Fourth, new findings from this interim audit.</w:t>
      </w:r>
    </w:p>
    <w:p>
      <w:pPr>
        <w:pStyle w:val="ListParagraph"/>
        <w:numPr>
          <w:ilvl w:val="0"/>
          <w:numId w:val="2"/>
        </w:numPr>
        <w:spacing w:after="80"/>
      </w:pPr>
      <w:r>
        <w:rPr>
          <w:rFonts w:ascii="Arial" w:cs="Arial" w:eastAsia="Arial" w:hAnsi="Arial"/>
          <w:sz w:val="22"/>
          <w:szCs w:val="22"/>
        </w:rPr>
        <w:t xml:space="preserve">And finally, open items and our plan for the year-end audit.</w:t>
      </w:r>
    </w:p>
    <w:p>
      <w:pPr>
        <w:pStyle w:val="Heading1"/>
        <w:pBdr>
          <w:bottom w:val="single" w:color="1F5FBF" w:sz="6" w:space="2"/>
        </w:pBdr>
        <w:spacing w:after="120" w:before="300"/>
      </w:pPr>
      <w:r>
        <w:rPr>
          <w:rFonts w:ascii="Arial" w:cs="Arial" w:eastAsia="Arial" w:hAnsi="Arial"/>
          <w:b/>
          <w:bCs/>
          <w:color w:val="1F5FBF"/>
          <w:sz w:val="26"/>
          <w:szCs w:val="26"/>
        </w:rPr>
        <w:t xml:space="preserve">Slide 3 – Section: Audit Schedule</w:t>
      </w:r>
    </w:p>
    <w:p>
      <w:pPr>
        <w:spacing w:after="120"/>
      </w:pPr>
      <w:r>
        <w:rPr>
          <w:rFonts w:ascii="Arial" w:cs="Arial" w:eastAsia="Arial" w:hAnsi="Arial"/>
          <w:sz w:val="22"/>
          <w:szCs w:val="22"/>
        </w:rPr>
        <w:t xml:space="preserve">Let’s start with the audit schedule.</w:t>
      </w:r>
    </w:p>
    <w:p>
      <w:pPr>
        <w:pStyle w:val="Heading1"/>
        <w:pBdr>
          <w:bottom w:val="single" w:color="1F5FBF" w:sz="6" w:space="2"/>
        </w:pBdr>
        <w:spacing w:after="120" w:before="300"/>
      </w:pPr>
      <w:r>
        <w:rPr>
          <w:rFonts w:ascii="Arial" w:cs="Arial" w:eastAsia="Arial" w:hAnsi="Arial"/>
          <w:b/>
          <w:bCs/>
          <w:color w:val="1F5FBF"/>
          <w:sz w:val="26"/>
          <w:szCs w:val="26"/>
        </w:rPr>
        <w:t xml:space="preserve">Slide 4 – Audit Schedule</w:t>
      </w:r>
    </w:p>
    <w:p>
      <w:pPr>
        <w:spacing w:after="120"/>
      </w:pPr>
      <w:r>
        <w:rPr>
          <w:rFonts w:ascii="Arial" w:cs="Arial" w:eastAsia="Arial" w:hAnsi="Arial"/>
          <w:sz w:val="22"/>
          <w:szCs w:val="22"/>
        </w:rPr>
        <w:t xml:space="preserve">The audit has three stages.</w:t>
      </w:r>
    </w:p>
    <w:p>
      <w:pPr>
        <w:spacing w:after="120"/>
      </w:pPr>
      <w:r>
        <w:rPr>
          <w:rFonts w:ascii="Arial" w:cs="Arial" w:eastAsia="Arial" w:hAnsi="Arial"/>
          <w:sz w:val="22"/>
          <w:szCs w:val="22"/>
        </w:rPr>
        <w:t xml:space="preserve">The interim audit ran from October 19 to 23 — five days, at your head office and remotely. We walked through your key processes, tested key controls, reviewed the September numbers, and looked at significant transactions like the Taxotere divestment and the restructuring.</w:t>
      </w:r>
    </w:p>
    <w:p>
      <w:pPr>
        <w:spacing w:after="120"/>
      </w:pPr>
      <w:r>
        <w:rPr>
          <w:rFonts w:ascii="Arial" w:cs="Arial" w:eastAsia="Arial" w:hAnsi="Arial"/>
          <w:sz w:val="22"/>
          <w:szCs w:val="22"/>
        </w:rPr>
        <w:t xml:space="preserve">Next is the inventory count at the Gunpo warehouse on December 29. We’ll attend the count, do our own test counts, and check returned, expired and divested-product stock.</w:t>
      </w:r>
    </w:p>
    <w:p>
      <w:pPr>
        <w:spacing w:after="120"/>
      </w:pPr>
      <w:r>
        <w:rPr>
          <w:rFonts w:ascii="Arial" w:cs="Arial" w:eastAsia="Arial" w:hAnsi="Arial"/>
          <w:sz w:val="22"/>
          <w:szCs w:val="22"/>
        </w:rPr>
        <w:t xml:space="preserve">Then the year-end audit, from February 10 to 16, 2027. We’ll follow up on today’s items, do our substantive testing, and send out bank, legal, and AR/AP confirmations.</w:t>
      </w:r>
    </w:p>
    <w:p>
      <w:pPr>
        <w:pStyle w:val="Heading1"/>
        <w:pBdr>
          <w:bottom w:val="single" w:color="1F5FBF" w:sz="6" w:space="2"/>
        </w:pBdr>
        <w:spacing w:after="120" w:before="300"/>
      </w:pPr>
      <w:r>
        <w:rPr>
          <w:rFonts w:ascii="Arial" w:cs="Arial" w:eastAsia="Arial" w:hAnsi="Arial"/>
          <w:b/>
          <w:bCs/>
          <w:color w:val="1F5FBF"/>
          <w:sz w:val="26"/>
          <w:szCs w:val="26"/>
        </w:rPr>
        <w:t xml:space="preserve">Slide 5 – Section: Walkthroughs and Control Testing</w:t>
      </w:r>
    </w:p>
    <w:p>
      <w:pPr>
        <w:spacing w:after="120"/>
      </w:pPr>
      <w:r>
        <w:rPr>
          <w:rFonts w:ascii="Arial" w:cs="Arial" w:eastAsia="Arial" w:hAnsi="Arial"/>
          <w:sz w:val="22"/>
          <w:szCs w:val="22"/>
        </w:rPr>
        <w:t xml:space="preserve">Next, the results of our walkthroughs and control testing.</w:t>
      </w:r>
    </w:p>
    <w:p>
      <w:pPr>
        <w:pStyle w:val="Heading1"/>
        <w:pBdr>
          <w:bottom w:val="single" w:color="1F5FBF" w:sz="6" w:space="2"/>
        </w:pBdr>
        <w:spacing w:after="120" w:before="300"/>
      </w:pPr>
      <w:r>
        <w:rPr>
          <w:rFonts w:ascii="Arial" w:cs="Arial" w:eastAsia="Arial" w:hAnsi="Arial"/>
          <w:b/>
          <w:bCs/>
          <w:color w:val="1F5FBF"/>
          <w:sz w:val="26"/>
          <w:szCs w:val="26"/>
        </w:rPr>
        <w:t xml:space="preserve">Slide 6 – Summary by Process</w:t>
      </w:r>
    </w:p>
    <w:p>
      <w:pPr>
        <w:spacing w:after="120"/>
      </w:pPr>
      <w:r>
        <w:rPr>
          <w:rFonts w:ascii="Arial" w:cs="Arial" w:eastAsia="Arial" w:hAnsi="Arial"/>
          <w:sz w:val="22"/>
          <w:szCs w:val="22"/>
        </w:rPr>
        <w:t xml:space="preserve">This table shows where we are by process.</w:t>
      </w:r>
    </w:p>
    <w:p>
      <w:pPr>
        <w:spacing w:after="120"/>
      </w:pPr>
      <w:r>
        <w:rPr>
          <w:rFonts w:ascii="Arial" w:cs="Arial" w:eastAsia="Arial" w:hAnsi="Arial"/>
          <w:sz w:val="22"/>
          <w:szCs w:val="22"/>
        </w:rPr>
        <w:t xml:space="preserve">Walkthroughs are complete for all processes except fixed assets. For fixed assets, we’re still waiting for part of the evidence.</w:t>
      </w:r>
    </w:p>
    <w:p>
      <w:pPr>
        <w:spacing w:after="120"/>
      </w:pPr>
      <w:r>
        <w:rPr>
          <w:rFonts w:ascii="Arial" w:cs="Arial" w:eastAsia="Arial" w:hAnsi="Arial"/>
          <w:sz w:val="22"/>
          <w:szCs w:val="22"/>
        </w:rPr>
        <w:t xml:space="preserve">For control testing, most controls were effective. Two are still pending, because we’re waiting for evidence:</w:t>
      </w:r>
    </w:p>
    <w:p>
      <w:pPr>
        <w:pStyle w:val="ListParagraph"/>
        <w:numPr>
          <w:ilvl w:val="0"/>
          <w:numId w:val="2"/>
        </w:numPr>
        <w:spacing w:after="80"/>
      </w:pPr>
      <w:r>
        <w:rPr>
          <w:rFonts w:ascii="Arial" w:cs="Arial" w:eastAsia="Arial" w:hAnsi="Arial"/>
          <w:sz w:val="22"/>
          <w:szCs w:val="22"/>
        </w:rPr>
        <w:t xml:space="preserve">Invoice generation on the revenue side — we expect the evidence by the end of November.</w:t>
      </w:r>
    </w:p>
    <w:p>
      <w:pPr>
        <w:pStyle w:val="ListParagraph"/>
        <w:numPr>
          <w:ilvl w:val="0"/>
          <w:numId w:val="2"/>
        </w:numPr>
        <w:spacing w:after="80"/>
      </w:pPr>
      <w:r>
        <w:rPr>
          <w:rFonts w:ascii="Arial" w:cs="Arial" w:eastAsia="Arial" w:hAnsi="Arial"/>
          <w:sz w:val="22"/>
          <w:szCs w:val="22"/>
        </w:rPr>
        <w:t xml:space="preserve">Goods receipt matching on the purchase side — by the end of October.</w:t>
      </w:r>
    </w:p>
    <w:p>
      <w:pPr>
        <w:spacing w:after="120"/>
      </w:pPr>
      <w:r>
        <w:rPr>
          <w:rFonts w:ascii="Arial" w:cs="Arial" w:eastAsia="Arial" w:hAnsi="Arial"/>
          <w:sz w:val="22"/>
          <w:szCs w:val="22"/>
        </w:rPr>
        <w:t xml:space="preserve">For the monthly revenue reconciliation, we’ll test December at year-end.</w:t>
      </w:r>
    </w:p>
    <w:p>
      <w:pPr>
        <w:spacing w:after="120"/>
      </w:pPr>
      <w:r>
        <w:rPr>
          <w:rFonts w:ascii="Arial" w:cs="Arial" w:eastAsia="Arial" w:hAnsi="Arial"/>
          <w:sz w:val="22"/>
          <w:szCs w:val="22"/>
        </w:rPr>
        <w:t xml:space="preserve">So far, we haven’t found any exceptions in the controls we tested.</w:t>
      </w:r>
    </w:p>
    <w:p>
      <w:pPr>
        <w:pStyle w:val="Heading1"/>
        <w:pBdr>
          <w:bottom w:val="single" w:color="1F5FBF" w:sz="6" w:space="2"/>
        </w:pBdr>
        <w:spacing w:after="120" w:before="300"/>
      </w:pPr>
      <w:r>
        <w:rPr>
          <w:rFonts w:ascii="Arial" w:cs="Arial" w:eastAsia="Arial" w:hAnsi="Arial"/>
          <w:b/>
          <w:bCs/>
          <w:color w:val="1F5FBF"/>
          <w:sz w:val="26"/>
          <w:szCs w:val="26"/>
        </w:rPr>
        <w:t xml:space="preserve">Slide 7 – Section: Prior Year Follow-up</w:t>
      </w:r>
    </w:p>
    <w:p>
      <w:pPr>
        <w:spacing w:after="120"/>
      </w:pPr>
      <w:r>
        <w:rPr>
          <w:rFonts w:ascii="Arial" w:cs="Arial" w:eastAsia="Arial" w:hAnsi="Arial"/>
          <w:sz w:val="22"/>
          <w:szCs w:val="22"/>
        </w:rPr>
        <w:t xml:space="preserve">Now let’s look at last year’s findings and where they stand.</w:t>
      </w:r>
    </w:p>
    <w:p>
      <w:pPr>
        <w:pStyle w:val="Heading1"/>
        <w:pBdr>
          <w:bottom w:val="single" w:color="1F5FBF" w:sz="6" w:space="2"/>
        </w:pBdr>
        <w:spacing w:after="120" w:before="300"/>
      </w:pPr>
      <w:r>
        <w:rPr>
          <w:rFonts w:ascii="Arial" w:cs="Arial" w:eastAsia="Arial" w:hAnsi="Arial"/>
          <w:b/>
          <w:bCs/>
          <w:color w:val="1F5FBF"/>
          <w:sz w:val="26"/>
          <w:szCs w:val="26"/>
        </w:rPr>
        <w:t xml:space="preserve">Slide 8 – Restructuring (VRP)</w:t>
      </w:r>
    </w:p>
    <w:p>
      <w:pPr>
        <w:spacing w:after="120"/>
      </w:pPr>
      <w:r>
        <w:rPr>
          <w:rFonts w:ascii="Arial" w:cs="Arial" w:eastAsia="Arial" w:hAnsi="Arial"/>
          <w:sz w:val="22"/>
          <w:szCs w:val="22"/>
        </w:rPr>
        <w:t xml:space="preserve">First, restructuring.</w:t>
      </w:r>
    </w:p>
    <w:p>
      <w:pPr>
        <w:spacing w:after="120"/>
      </w:pPr>
      <w:r>
        <w:rPr>
          <w:rFonts w:ascii="Arial" w:cs="Arial" w:eastAsia="Arial" w:hAnsi="Arial"/>
          <w:sz w:val="22"/>
          <w:szCs w:val="22"/>
        </w:rPr>
        <w:t xml:space="preserve">At last year-end, the provision was 17.0 billion won. This year, about 11.1 billion won was used and 2.4 billion won was reversed. Four new provisions were added, totalling 970 million won. So the September balance is 4.5 billion won.</w:t>
      </w:r>
    </w:p>
    <w:p>
      <w:pPr>
        <w:spacing w:after="120"/>
      </w:pPr>
      <w:r>
        <w:rPr>
          <w:rFonts w:ascii="Arial" w:cs="Arial" w:eastAsia="Arial" w:hAnsi="Arial"/>
          <w:sz w:val="22"/>
          <w:szCs w:val="22"/>
        </w:rPr>
        <w:t xml:space="preserve">We have two points.</w:t>
      </w:r>
    </w:p>
    <w:p>
      <w:pPr>
        <w:pStyle w:val="ListParagraph"/>
        <w:numPr>
          <w:ilvl w:val="0"/>
          <w:numId w:val="2"/>
        </w:numPr>
        <w:spacing w:after="80"/>
      </w:pPr>
      <w:r>
        <w:rPr>
          <w:rFonts w:ascii="Arial" w:cs="Arial" w:eastAsia="Arial" w:hAnsi="Arial"/>
          <w:sz w:val="22"/>
          <w:szCs w:val="22"/>
        </w:rPr>
        <w:t xml:space="preserve">First, the prior-year balance of 3.5 billion won. Only 645 million won is supported — that’s for the employee who left on September 30 and was paid in October. The remaining 2.9 billion won should be reversed, unless there’s a plan to use it.</w:t>
      </w:r>
    </w:p>
    <w:p>
      <w:pPr>
        <w:pStyle w:val="ListParagraph"/>
        <w:numPr>
          <w:ilvl w:val="0"/>
          <w:numId w:val="2"/>
        </w:numPr>
        <w:spacing w:after="80"/>
      </w:pPr>
      <w:r>
        <w:rPr>
          <w:rFonts w:ascii="Arial" w:cs="Arial" w:eastAsia="Arial" w:hAnsi="Arial"/>
          <w:sz w:val="22"/>
          <w:szCs w:val="22"/>
        </w:rPr>
        <w:t xml:space="preserve">Second, the new provisions for 2026. We checked the resignation agreements for two employees. They total 808 million won, and they meet the criteria. But 970 million won was booked, so there’s a gap of 162 million won.</w:t>
      </w:r>
    </w:p>
    <w:p>
      <w:pPr>
        <w:spacing w:after="120"/>
      </w:pPr>
      <w:r>
        <w:rPr>
          <w:rFonts w:ascii="Arial" w:cs="Arial" w:eastAsia="Arial" w:hAnsi="Arial"/>
          <w:sz w:val="22"/>
          <w:szCs w:val="22"/>
        </w:rPr>
        <w:t xml:space="preserve">A restructuring provision can only be booked when there’s a formal, detailed plan that has been announced. So please review this gap before year-end.</w:t>
      </w:r>
    </w:p>
    <w:p>
      <w:pPr>
        <w:pStyle w:val="Heading1"/>
        <w:pBdr>
          <w:bottom w:val="single" w:color="1F5FBF" w:sz="6" w:space="2"/>
        </w:pBdr>
        <w:spacing w:after="120" w:before="300"/>
      </w:pPr>
      <w:r>
        <w:rPr>
          <w:rFonts w:ascii="Arial" w:cs="Arial" w:eastAsia="Arial" w:hAnsi="Arial"/>
          <w:b/>
          <w:bCs/>
          <w:color w:val="1F5FBF"/>
          <w:sz w:val="26"/>
          <w:szCs w:val="26"/>
        </w:rPr>
        <w:t xml:space="preserve">Slide 9 – Banpo Office Lease</w:t>
      </w:r>
    </w:p>
    <w:p>
      <w:pPr>
        <w:spacing w:after="120"/>
      </w:pPr>
      <w:r>
        <w:rPr>
          <w:rFonts w:ascii="Arial" w:cs="Arial" w:eastAsia="Arial" w:hAnsi="Arial"/>
          <w:sz w:val="22"/>
          <w:szCs w:val="22"/>
        </w:rPr>
        <w:t xml:space="preserve">Next, the Banpo office lease.</w:t>
      </w:r>
    </w:p>
    <w:p>
      <w:pPr>
        <w:spacing w:after="120"/>
      </w:pPr>
      <w:r>
        <w:rPr>
          <w:rFonts w:ascii="Arial" w:cs="Arial" w:eastAsia="Arial" w:hAnsi="Arial"/>
          <w:sz w:val="22"/>
          <w:szCs w:val="22"/>
        </w:rPr>
        <w:t xml:space="preserve">Last year, the leasehold improvements were depreciated only to November 2026, because the lease was ending. But in June, you extended the lease to May 31, 2027. The landlord already has a new tenant from June, so the restoration works must be done by the end of May.</w:t>
      </w:r>
    </w:p>
    <w:p>
      <w:pPr>
        <w:spacing w:after="120"/>
      </w:pPr>
      <w:r>
        <w:rPr>
          <w:rFonts w:ascii="Arial" w:cs="Arial" w:eastAsia="Arial" w:hAnsi="Arial"/>
          <w:sz w:val="22"/>
          <w:szCs w:val="22"/>
        </w:rPr>
        <w:t xml:space="preserve">As of September, the restoration provision is 912 million won. The restoration asset has a cost of 844 million won, with accumulated depreciation of 815 million won. It’s currently scheduled to be fully depreciated by November 2026. The lease deposit of 1.18 billion won is shown as a non-current asset.</w:t>
      </w:r>
    </w:p>
    <w:p>
      <w:pPr>
        <w:spacing w:after="120"/>
      </w:pPr>
      <w:r>
        <w:rPr>
          <w:rFonts w:ascii="Arial" w:cs="Arial" w:eastAsia="Arial" w:hAnsi="Arial"/>
          <w:sz w:val="22"/>
          <w:szCs w:val="22"/>
        </w:rPr>
        <w:t xml:space="preserve">We have three points.</w:t>
      </w:r>
    </w:p>
    <w:p>
      <w:pPr>
        <w:pStyle w:val="ListParagraph"/>
        <w:numPr>
          <w:ilvl w:val="0"/>
          <w:numId w:val="2"/>
        </w:numPr>
        <w:spacing w:after="80"/>
      </w:pPr>
      <w:r>
        <w:rPr>
          <w:rFonts w:ascii="Arial" w:cs="Arial" w:eastAsia="Arial" w:hAnsi="Arial"/>
          <w:sz w:val="22"/>
          <w:szCs w:val="22"/>
        </w:rPr>
        <w:t xml:space="preserve">First, the extension is a change in accounting estimate. So the remaining book value should be depreciated over the new period, up to May 2027.</w:t>
      </w:r>
    </w:p>
    <w:p>
      <w:pPr>
        <w:pStyle w:val="ListParagraph"/>
        <w:numPr>
          <w:ilvl w:val="0"/>
          <w:numId w:val="2"/>
        </w:numPr>
        <w:spacing w:after="80"/>
      </w:pPr>
      <w:r>
        <w:rPr>
          <w:rFonts w:ascii="Arial" w:cs="Arial" w:eastAsia="Arial" w:hAnsi="Arial"/>
          <w:sz w:val="22"/>
          <w:szCs w:val="22"/>
        </w:rPr>
        <w:t xml:space="preserve">Second, please remeasure the restoration provision at year-end, using the latest quote and the new timing. The discounting effect is small — about 9 million won.</w:t>
      </w:r>
    </w:p>
    <w:p>
      <w:pPr>
        <w:pStyle w:val="ListParagraph"/>
        <w:numPr>
          <w:ilvl w:val="0"/>
          <w:numId w:val="2"/>
        </w:numPr>
        <w:spacing w:after="80"/>
      </w:pPr>
      <w:r>
        <w:rPr>
          <w:rFonts w:ascii="Arial" w:cs="Arial" w:eastAsia="Arial" w:hAnsi="Arial"/>
          <w:sz w:val="22"/>
          <w:szCs w:val="22"/>
        </w:rPr>
        <w:t xml:space="preserve">Third, the deposit will be returned within one year, so it should be moved to current assets.</w:t>
      </w:r>
    </w:p>
    <w:p>
      <w:pPr>
        <w:pStyle w:val="Heading1"/>
        <w:pBdr>
          <w:bottom w:val="single" w:color="1F5FBF" w:sz="6" w:space="2"/>
        </w:pBdr>
        <w:spacing w:after="120" w:before="300"/>
      </w:pPr>
      <w:r>
        <w:rPr>
          <w:rFonts w:ascii="Arial" w:cs="Arial" w:eastAsia="Arial" w:hAnsi="Arial"/>
          <w:b/>
          <w:bCs/>
          <w:color w:val="1F5FBF"/>
          <w:sz w:val="26"/>
          <w:szCs w:val="26"/>
        </w:rPr>
        <w:t xml:space="preserve">Slide 10 – Customs Audit</w:t>
      </w:r>
    </w:p>
    <w:p>
      <w:pPr>
        <w:spacing w:after="120"/>
      </w:pPr>
      <w:r>
        <w:rPr>
          <w:rFonts w:ascii="Arial" w:cs="Arial" w:eastAsia="Arial" w:hAnsi="Arial"/>
          <w:sz w:val="22"/>
          <w:szCs w:val="22"/>
        </w:rPr>
        <w:t xml:space="preserve">Next, the customs audit.</w:t>
      </w:r>
    </w:p>
    <w:p>
      <w:pPr>
        <w:spacing w:after="120"/>
      </w:pPr>
      <w:r>
        <w:rPr>
          <w:rFonts w:ascii="Arial" w:cs="Arial" w:eastAsia="Arial" w:hAnsi="Arial"/>
          <w:sz w:val="22"/>
          <w:szCs w:val="22"/>
        </w:rPr>
        <w:t xml:space="preserve">The audit was completed in June. Based on the final notice dated July 23, the total was 194 million won — 13 million in duty, 141 million in VAT, and 39 million in penalties. No violations of law were found. Everything has been paid, so there’s no liability left at September.</w:t>
      </w:r>
    </w:p>
    <w:p>
      <w:pPr>
        <w:spacing w:after="120"/>
      </w:pPr>
      <w:r>
        <w:rPr>
          <w:rFonts w:ascii="Arial" w:cs="Arial" w:eastAsia="Arial" w:hAnsi="Arial"/>
          <w:sz w:val="22"/>
          <w:szCs w:val="22"/>
        </w:rPr>
        <w:t xml:space="preserve">We have two points.</w:t>
      </w:r>
    </w:p>
    <w:p>
      <w:pPr>
        <w:pStyle w:val="ListParagraph"/>
        <w:numPr>
          <w:ilvl w:val="0"/>
          <w:numId w:val="2"/>
        </w:numPr>
        <w:spacing w:after="80"/>
      </w:pPr>
      <w:r>
        <w:rPr>
          <w:rFonts w:ascii="Arial" w:cs="Arial" w:eastAsia="Arial" w:hAnsi="Arial"/>
          <w:sz w:val="22"/>
          <w:szCs w:val="22"/>
        </w:rPr>
        <w:t xml:space="preserve">First, the duty and penalties of 53 million won were booked in income tax expense. They’re not income taxes, so they should be reclassified to SG&amp;A, under taxes and dues.</w:t>
      </w:r>
    </w:p>
    <w:p>
      <w:pPr>
        <w:pStyle w:val="ListParagraph"/>
        <w:numPr>
          <w:ilvl w:val="0"/>
          <w:numId w:val="2"/>
        </w:numPr>
        <w:spacing w:after="80"/>
      </w:pPr>
      <w:r>
        <w:rPr>
          <w:rFonts w:ascii="Arial" w:cs="Arial" w:eastAsia="Arial" w:hAnsi="Arial"/>
          <w:sz w:val="22"/>
          <w:szCs w:val="22"/>
        </w:rPr>
        <w:t xml:space="preserve">Second, the VAT of 141 million won is deductible. It was claimed in the Q2 VAT return, so no issue there.</w:t>
      </w:r>
    </w:p>
    <w:p>
      <w:pPr>
        <w:pStyle w:val="Heading1"/>
        <w:pBdr>
          <w:bottom w:val="single" w:color="1F5FBF" w:sz="6" w:space="2"/>
        </w:pBdr>
        <w:spacing w:after="120" w:before="300"/>
      </w:pPr>
      <w:r>
        <w:rPr>
          <w:rFonts w:ascii="Arial" w:cs="Arial" w:eastAsia="Arial" w:hAnsi="Arial"/>
          <w:b/>
          <w:bCs/>
          <w:color w:val="1F5FBF"/>
          <w:sz w:val="26"/>
          <w:szCs w:val="26"/>
        </w:rPr>
        <w:t xml:space="preserve">Slide 11 – Section: Interim Findings</w:t>
      </w:r>
    </w:p>
    <w:p>
      <w:pPr>
        <w:spacing w:after="120"/>
      </w:pPr>
      <w:r>
        <w:rPr>
          <w:rFonts w:ascii="Arial" w:cs="Arial" w:eastAsia="Arial" w:hAnsi="Arial"/>
          <w:sz w:val="22"/>
          <w:szCs w:val="22"/>
        </w:rPr>
        <w:t xml:space="preserve">Now, the new findings from this interim audit.</w:t>
      </w:r>
    </w:p>
    <w:p>
      <w:pPr>
        <w:pStyle w:val="Heading1"/>
        <w:pBdr>
          <w:bottom w:val="single" w:color="1F5FBF" w:sz="6" w:space="2"/>
        </w:pBdr>
        <w:spacing w:after="120" w:before="300"/>
      </w:pPr>
      <w:r>
        <w:rPr>
          <w:rFonts w:ascii="Arial" w:cs="Arial" w:eastAsia="Arial" w:hAnsi="Arial"/>
          <w:b/>
          <w:bCs/>
          <w:color w:val="1F5FBF"/>
          <w:sz w:val="26"/>
          <w:szCs w:val="26"/>
        </w:rPr>
        <w:t xml:space="preserve">Slide 12 – Taxotere Divestment</w:t>
      </w:r>
    </w:p>
    <w:p>
      <w:pPr>
        <w:spacing w:after="120"/>
      </w:pPr>
      <w:r>
        <w:rPr>
          <w:rFonts w:ascii="Arial" w:cs="Arial" w:eastAsia="Arial" w:hAnsi="Arial"/>
          <w:sz w:val="22"/>
          <w:szCs w:val="22"/>
        </w:rPr>
        <w:t xml:space="preserve">This is the main topic today: Taxotere. Let me go through the five transactions one by one.</w:t>
      </w:r>
    </w:p>
    <w:p>
      <w:pPr>
        <w:spacing w:after="60" w:before="120"/>
      </w:pPr>
      <w:r>
        <w:rPr>
          <w:rFonts w:ascii="Arial" w:cs="Arial" w:eastAsia="Arial" w:hAnsi="Arial"/>
          <w:b/>
          <w:bCs/>
          <w:sz w:val="22"/>
          <w:szCs w:val="22"/>
        </w:rPr>
        <w:t xml:space="preserve">Number 1 — the sale of Closing inventory.</w:t>
      </w:r>
    </w:p>
    <w:p>
      <w:pPr>
        <w:spacing w:after="120"/>
      </w:pPr>
      <w:r>
        <w:rPr>
          <w:rFonts w:ascii="Arial" w:cs="Arial" w:eastAsia="Arial" w:hAnsi="Arial"/>
          <w:sz w:val="22"/>
          <w:szCs w:val="22"/>
        </w:rPr>
        <w:t xml:space="preserve">At Closing on May 29, SAK sold its Taxotere stock to Boryung under the APA, and booked a loss of 1.37 billion won as non-operating. We agree it’s non-operating, because it’s part of the business disposal. But the account name, “loss on disposal of investment assets,” isn’t right — it’s inventory. Please rename it, for example to “loss on disposal of inventories.” There’s no P&amp;L impact.</w:t>
      </w:r>
    </w:p>
    <w:p>
      <w:pPr>
        <w:spacing w:after="60" w:before="120"/>
      </w:pPr>
      <w:r>
        <w:rPr>
          <w:rFonts w:ascii="Arial" w:cs="Arial" w:eastAsia="Arial" w:hAnsi="Arial"/>
          <w:b/>
          <w:bCs/>
          <w:sz w:val="22"/>
          <w:szCs w:val="22"/>
        </w:rPr>
        <w:t xml:space="preserve">Number 2 — the buy-back.</w:t>
      </w:r>
    </w:p>
    <w:p>
      <w:pPr>
        <w:spacing w:after="120"/>
      </w:pPr>
      <w:r>
        <w:rPr>
          <w:rFonts w:ascii="Arial" w:cs="Arial" w:eastAsia="Arial" w:hAnsi="Arial"/>
          <w:sz w:val="22"/>
          <w:szCs w:val="22"/>
        </w:rPr>
        <w:t xml:space="preserve">On the same day, SAK bought the stock back at the TDA price, for 3.7 billion won. The difference from standard cost was capitalised as PPV. All of this stock was sold between June and August, so the PPV balance should now be recognised in cost of sales.</w:t>
      </w:r>
    </w:p>
    <w:p>
      <w:pPr>
        <w:spacing w:after="60" w:before="120"/>
      </w:pPr>
      <w:r>
        <w:rPr>
          <w:rFonts w:ascii="Arial" w:cs="Arial" w:eastAsia="Arial" w:hAnsi="Arial"/>
          <w:b/>
          <w:bCs/>
          <w:sz w:val="22"/>
          <w:szCs w:val="22"/>
        </w:rPr>
        <w:t xml:space="preserve">Number 3 — sales of the bought-back stock.</w:t>
      </w:r>
    </w:p>
    <w:p>
      <w:pPr>
        <w:spacing w:after="120"/>
      </w:pPr>
      <w:r>
        <w:rPr>
          <w:rFonts w:ascii="Arial" w:cs="Arial" w:eastAsia="Arial" w:hAnsi="Arial"/>
          <w:sz w:val="22"/>
          <w:szCs w:val="22"/>
        </w:rPr>
        <w:t xml:space="preserve">That stock was sold to wholesalers from June to August, with net sales of 3.6 billion won. SAK sells in its own name and takes the credit risk, so gross revenue is fine. There’s also a TDA settlement of about 370 to 400 million won. Based on the group instructions and HQ’s confirmation, it’s settled between SWI and Boryung, so nothing needs to be booked by SAK.</w:t>
      </w:r>
    </w:p>
    <w:p>
      <w:pPr>
        <w:spacing w:after="60" w:before="120"/>
      </w:pPr>
      <w:r>
        <w:rPr>
          <w:rFonts w:ascii="Arial" w:cs="Arial" w:eastAsia="Arial" w:hAnsi="Arial"/>
          <w:b/>
          <w:bCs/>
          <w:sz w:val="22"/>
          <w:szCs w:val="22"/>
        </w:rPr>
        <w:t xml:space="preserve">Number 4 — sales of stock bought from Singapore.</w:t>
      </w:r>
    </w:p>
    <w:p>
      <w:pPr>
        <w:spacing w:after="120"/>
      </w:pPr>
      <w:r>
        <w:rPr>
          <w:rFonts w:ascii="Arial" w:cs="Arial" w:eastAsia="Arial" w:hAnsi="Arial"/>
          <w:sz w:val="22"/>
          <w:szCs w:val="22"/>
        </w:rPr>
        <w:t xml:space="preserve">After Closing, SAK kept buying from Sanofi Singapore at transfer price — about 19.5 billion won from July to September — and sold about 5.8 billion won externally. SAK takes the price and inventory risk, so gross revenue is appropriate. HQ confirmed this flow continues as before.</w:t>
      </w:r>
    </w:p>
    <w:p>
      <w:pPr>
        <w:spacing w:after="60" w:before="120"/>
      </w:pPr>
      <w:r>
        <w:rPr>
          <w:rFonts w:ascii="Arial" w:cs="Arial" w:eastAsia="Arial" w:hAnsi="Arial"/>
          <w:b/>
          <w:bCs/>
          <w:sz w:val="22"/>
          <w:szCs w:val="22"/>
        </w:rPr>
        <w:t xml:space="preserve">Number 5 — the transfer of the remaining stock.</w:t>
      </w:r>
    </w:p>
    <w:p>
      <w:pPr>
        <w:spacing w:after="120"/>
      </w:pPr>
      <w:r>
        <w:rPr>
          <w:rFonts w:ascii="Arial" w:cs="Arial" w:eastAsia="Arial" w:hAnsi="Arial"/>
          <w:sz w:val="22"/>
          <w:szCs w:val="22"/>
        </w:rPr>
        <w:t xml:space="preserve">On October 19, the MA was transferred, and the remaining 91,992 units were sold to Boryung at the TDA price. This is a Q4 transaction, so it doesn’t affect the September numbers. We estimate the transfer price at about 15.3 to 17.4 billion won, with a gain of about 2.3 to 2.6 billion won.</w:t>
      </w:r>
    </w:p>
    <w:p>
      <w:pPr>
        <w:spacing w:after="120"/>
      </w:pPr>
      <w:r>
        <w:rPr>
          <w:rFonts w:ascii="Arial" w:cs="Arial" w:eastAsia="Arial" w:hAnsi="Arial"/>
          <w:sz w:val="22"/>
          <w:szCs w:val="22"/>
        </w:rPr>
        <w:t xml:space="preserve">Our view is that this should be recorded as revenue and cost of sales, not as a non-operating item. Unlike number 1, it’s not part of the APA. The goods were actually delivered, with no buy-back, under the TDA as a supply contract. The group instructions also book it as third-party sales.</w:t>
      </w:r>
    </w:p>
    <w:p>
      <w:pPr>
        <w:spacing w:after="120"/>
      </w:pPr>
      <w:r>
        <w:rPr>
          <w:rFonts w:ascii="Arial" w:cs="Arial" w:eastAsia="Arial" w:hAnsi="Arial"/>
          <w:sz w:val="22"/>
          <w:szCs w:val="22"/>
        </w:rPr>
        <w:t xml:space="preserve">At year-end, we’ll check the invoice, delivery documents and FX rate, and confirm whether the group will recharge anything.</w:t>
      </w:r>
    </w:p>
    <w:p>
      <w:pPr>
        <w:pStyle w:val="Heading1"/>
        <w:pBdr>
          <w:bottom w:val="single" w:color="1F5FBF" w:sz="6" w:space="2"/>
        </w:pBdr>
        <w:spacing w:after="120" w:before="300"/>
      </w:pPr>
      <w:r>
        <w:rPr>
          <w:rFonts w:ascii="Arial" w:cs="Arial" w:eastAsia="Arial" w:hAnsi="Arial"/>
          <w:b/>
          <w:bCs/>
          <w:color w:val="1F5FBF"/>
          <w:sz w:val="26"/>
          <w:szCs w:val="26"/>
        </w:rPr>
        <w:t xml:space="preserve">Slide 13 – Caprelsa and Rodogyl</w:t>
      </w:r>
    </w:p>
    <w:p>
      <w:pPr>
        <w:spacing w:after="120"/>
      </w:pPr>
      <w:r>
        <w:rPr>
          <w:rFonts w:ascii="Arial" w:cs="Arial" w:eastAsia="Arial" w:hAnsi="Arial"/>
          <w:sz w:val="22"/>
          <w:szCs w:val="22"/>
        </w:rPr>
        <w:t xml:space="preserve">Next, two other divestments.</w:t>
      </w:r>
    </w:p>
    <w:p>
      <w:pPr>
        <w:spacing w:after="60" w:before="120"/>
      </w:pPr>
      <w:r>
        <w:rPr>
          <w:rFonts w:ascii="Arial" w:cs="Arial" w:eastAsia="Arial" w:hAnsi="Arial"/>
          <w:b/>
          <w:bCs/>
          <w:sz w:val="22"/>
          <w:szCs w:val="22"/>
        </w:rPr>
        <w:t xml:space="preserve">Caprelsa</w:t>
      </w:r>
    </w:p>
    <w:p>
      <w:pPr>
        <w:spacing w:after="120"/>
      </w:pPr>
      <w:r>
        <w:rPr>
          <w:rFonts w:ascii="Arial" w:cs="Arial" w:eastAsia="Arial" w:hAnsi="Arial"/>
          <w:sz w:val="22"/>
          <w:szCs w:val="22"/>
        </w:rPr>
        <w:t xml:space="preserve">Caprelsa was sold globally to Esteve, and the Korean rights will go to KIMS Pharma. The Korean MA transfer is expected in April 2027. You haven’t received HQ guidance yet.</w:t>
      </w:r>
    </w:p>
    <w:p>
      <w:pPr>
        <w:spacing w:after="120"/>
      </w:pPr>
      <w:r>
        <w:rPr>
          <w:rFonts w:ascii="Arial" w:cs="Arial" w:eastAsia="Arial" w:hAnsi="Arial"/>
          <w:sz w:val="22"/>
          <w:szCs w:val="22"/>
        </w:rPr>
        <w:t xml:space="preserve">For now, SAK still buys at group transfer price and sells on its own account. From January to September, net sales were 1.49 billion won, and the September inventory is 782 million won.</w:t>
      </w:r>
    </w:p>
    <w:p>
      <w:pPr>
        <w:spacing w:after="120"/>
      </w:pPr>
      <w:r>
        <w:rPr>
          <w:rFonts w:ascii="Arial" w:cs="Arial" w:eastAsia="Arial" w:hAnsi="Arial"/>
          <w:sz w:val="22"/>
          <w:szCs w:val="22"/>
        </w:rPr>
        <w:t xml:space="preserve">We expect it to follow the same structure as Taxotere. So, during the transition, we don’t expect a settlement obligation for SAK. But when the MA is transferred, the remaining stock will be sold to the buyer, and that will hit SAK’s P&amp;L, like the October Taxotere transfer. So please share the APA, Closing date, TDA and HQ guidance once you receive them.</w:t>
      </w:r>
    </w:p>
    <w:p>
      <w:pPr>
        <w:spacing w:after="60" w:before="120"/>
      </w:pPr>
      <w:r>
        <w:rPr>
          <w:rFonts w:ascii="Arial" w:cs="Arial" w:eastAsia="Arial" w:hAnsi="Arial"/>
          <w:b/>
          <w:bCs/>
          <w:sz w:val="22"/>
          <w:szCs w:val="22"/>
        </w:rPr>
        <w:t xml:space="preserve">Rodogyl</w:t>
      </w:r>
    </w:p>
    <w:p>
      <w:pPr>
        <w:spacing w:after="120"/>
      </w:pPr>
      <w:r>
        <w:rPr>
          <w:rFonts w:ascii="Arial" w:cs="Arial" w:eastAsia="Arial" w:hAnsi="Arial"/>
          <w:sz w:val="22"/>
          <w:szCs w:val="22"/>
        </w:rPr>
        <w:t xml:space="preserve">Rodogyl was discontinued in Korea, and the MA was withdrawn in August. There were no sales this year, only returns of about 16,000 units.</w:t>
      </w:r>
    </w:p>
    <w:p>
      <w:pPr>
        <w:spacing w:after="120"/>
      </w:pPr>
      <w:r>
        <w:rPr>
          <w:rFonts w:ascii="Arial" w:cs="Arial" w:eastAsia="Arial" w:hAnsi="Arial"/>
          <w:sz w:val="22"/>
          <w:szCs w:val="22"/>
        </w:rPr>
        <w:t xml:space="preserve">The September inventory of 13 million won is all returned stock, and it’s fully provided for. Future returns should be under 50 million won, so it’s not material. We’ll check the returns provision at year-end.</w:t>
      </w:r>
    </w:p>
    <w:p>
      <w:pPr>
        <w:pStyle w:val="Heading1"/>
        <w:pBdr>
          <w:bottom w:val="single" w:color="1F5FBF" w:sz="6" w:space="2"/>
        </w:pBdr>
        <w:spacing w:after="120" w:before="300"/>
      </w:pPr>
      <w:r>
        <w:rPr>
          <w:rFonts w:ascii="Arial" w:cs="Arial" w:eastAsia="Arial" w:hAnsi="Arial"/>
          <w:b/>
          <w:bCs/>
          <w:color w:val="1F5FBF"/>
          <w:sz w:val="26"/>
          <w:szCs w:val="26"/>
        </w:rPr>
        <w:t xml:space="preserve">Slide 14 – New Office Lease and Action Share</w:t>
      </w:r>
    </w:p>
    <w:p>
      <w:pPr>
        <w:spacing w:after="60" w:before="120"/>
      </w:pPr>
      <w:r>
        <w:rPr>
          <w:rFonts w:ascii="Arial" w:cs="Arial" w:eastAsia="Arial" w:hAnsi="Arial"/>
          <w:b/>
          <w:bCs/>
          <w:sz w:val="22"/>
          <w:szCs w:val="22"/>
        </w:rPr>
        <w:t xml:space="preserve">New office lease</w:t>
      </w:r>
    </w:p>
    <w:p>
      <w:pPr>
        <w:spacing w:after="120"/>
      </w:pPr>
      <w:r>
        <w:rPr>
          <w:rFonts w:ascii="Arial" w:cs="Arial" w:eastAsia="Arial" w:hAnsi="Arial"/>
          <w:sz w:val="22"/>
          <w:szCs w:val="22"/>
        </w:rPr>
        <w:t xml:space="preserve">You’re moving to Centerfield in Yeoksam in the first half of 2027. The lease runs for seven years, from December 2026 to December 2033. Monthly rent is 240 million won, plus a fixed management fee of 61 million won, going up each year by at least 3%. The deposit is 2.4 billion won. 30% was paid in June, and the rest is due on December 15.</w:t>
      </w:r>
    </w:p>
    <w:p>
      <w:pPr>
        <w:spacing w:after="120"/>
      </w:pPr>
      <w:r>
        <w:rPr>
          <w:rFonts w:ascii="Arial" w:cs="Arial" w:eastAsia="Arial" w:hAnsi="Arial"/>
          <w:sz w:val="22"/>
          <w:szCs w:val="22"/>
        </w:rPr>
        <w:t xml:space="preserve">Three things to keep in mind:</w:t>
      </w:r>
    </w:p>
    <w:p>
      <w:pPr>
        <w:pStyle w:val="ListParagraph"/>
        <w:numPr>
          <w:ilvl w:val="0"/>
          <w:numId w:val="2"/>
        </w:numPr>
        <w:spacing w:after="80"/>
      </w:pPr>
      <w:r>
        <w:rPr>
          <w:rFonts w:ascii="Arial" w:cs="Arial" w:eastAsia="Arial" w:hAnsi="Arial"/>
          <w:sz w:val="22"/>
          <w:szCs w:val="22"/>
        </w:rPr>
        <w:t xml:space="preserve">In the commitments note, please disclose the future minimum lease payments by period, using the 3% minimum increase and excluding VAT.</w:t>
      </w:r>
    </w:p>
    <w:p>
      <w:pPr>
        <w:pStyle w:val="ListParagraph"/>
        <w:numPr>
          <w:ilvl w:val="0"/>
          <w:numId w:val="2"/>
        </w:numPr>
        <w:spacing w:after="80"/>
      </w:pPr>
      <w:r>
        <w:rPr>
          <w:rFonts w:ascii="Arial" w:cs="Arial" w:eastAsia="Arial" w:hAnsi="Arial"/>
          <w:sz w:val="22"/>
          <w:szCs w:val="22"/>
        </w:rPr>
        <w:t xml:space="preserve">When the leasehold improvements are installed — probably after April 2027 — a new restoration provision should be recognised.</w:t>
      </w:r>
    </w:p>
    <w:p>
      <w:pPr>
        <w:pStyle w:val="ListParagraph"/>
        <w:numPr>
          <w:ilvl w:val="0"/>
          <w:numId w:val="2"/>
        </w:numPr>
        <w:spacing w:after="80"/>
      </w:pPr>
      <w:r>
        <w:rPr>
          <w:rFonts w:ascii="Arial" w:cs="Arial" w:eastAsia="Arial" w:hAnsi="Arial"/>
          <w:sz w:val="22"/>
          <w:szCs w:val="22"/>
        </w:rPr>
        <w:t xml:space="preserve">There’s no rent-free period, so rent during the interior works should be recognised as an expense.</w:t>
      </w:r>
    </w:p>
    <w:p>
      <w:pPr>
        <w:spacing w:after="60" w:before="120"/>
      </w:pPr>
      <w:r>
        <w:rPr>
          <w:rFonts w:ascii="Arial" w:cs="Arial" w:eastAsia="Arial" w:hAnsi="Arial"/>
          <w:b/>
          <w:bCs/>
          <w:sz w:val="22"/>
          <w:szCs w:val="22"/>
        </w:rPr>
        <w:t xml:space="preserve">Action share</w:t>
      </w:r>
    </w:p>
    <w:p>
      <w:pPr>
        <w:spacing w:after="120"/>
      </w:pPr>
      <w:r>
        <w:rPr>
          <w:rFonts w:ascii="Arial" w:cs="Arial" w:eastAsia="Arial" w:hAnsi="Arial"/>
          <w:sz w:val="22"/>
          <w:szCs w:val="22"/>
        </w:rPr>
        <w:t xml:space="preserve">Sanofi lets employees, including SAK employees, buy Sanofi shares at a 20% discount, plus some free shares. The cost isn’t recharged to SAK.</w:t>
      </w:r>
    </w:p>
    <w:p>
      <w:pPr>
        <w:spacing w:after="120"/>
      </w:pPr>
      <w:r>
        <w:rPr>
          <w:rFonts w:ascii="Arial" w:cs="Arial" w:eastAsia="Arial" w:hAnsi="Arial"/>
          <w:sz w:val="22"/>
          <w:szCs w:val="22"/>
        </w:rPr>
        <w:t xml:space="preserve">Under K-GAAP, the subsidiary should still recognise the full cost as an expense, with the same amount as a capital contribution from the parent. And because there’s no service condition, the cost should be recognised in full at the subscription date.</w:t>
      </w:r>
    </w:p>
    <w:p>
      <w:pPr>
        <w:spacing w:after="120"/>
      </w:pPr>
      <w:r>
        <w:rPr>
          <w:rFonts w:ascii="Arial" w:cs="Arial" w:eastAsia="Arial" w:hAnsi="Arial"/>
          <w:sz w:val="22"/>
          <w:szCs w:val="22"/>
        </w:rPr>
        <w:t xml:space="preserve">The group already books this expense under IFRS 2 in its consolidated accounts, but it hasn’t been recharged to or recorded in the SAK books.</w:t>
      </w:r>
    </w:p>
    <w:p>
      <w:pPr>
        <w:spacing w:after="120"/>
      </w:pPr>
      <w:r>
        <w:rPr>
          <w:rFonts w:ascii="Arial" w:cs="Arial" w:eastAsia="Arial" w:hAnsi="Arial"/>
          <w:sz w:val="22"/>
          <w:szCs w:val="22"/>
        </w:rPr>
        <w:t xml:space="preserve">Based on the group’s figures, we estimate the cost at about 370 million won for 2024, 300 million for 2025, and 185 million for 2026. Total equity doesn’t change — it’s an expense on one side and capital surplus on the other.</w:t>
      </w:r>
    </w:p>
    <w:p>
      <w:pPr>
        <w:spacing w:after="120"/>
      </w:pPr>
      <w:r>
        <w:rPr>
          <w:rFonts w:ascii="Arial" w:cs="Arial" w:eastAsia="Arial" w:hAnsi="Arial"/>
          <w:sz w:val="22"/>
          <w:szCs w:val="22"/>
        </w:rPr>
        <w:t xml:space="preserve">We’d like to get the group’s accounting policy and the cost for SAK, so we can assess the total impact.</w:t>
      </w:r>
    </w:p>
    <w:p>
      <w:pPr>
        <w:pStyle w:val="Heading1"/>
        <w:pBdr>
          <w:bottom w:val="single" w:color="1F5FBF" w:sz="6" w:space="2"/>
        </w:pBdr>
        <w:spacing w:after="120" w:before="300"/>
      </w:pPr>
      <w:r>
        <w:rPr>
          <w:rFonts w:ascii="Arial" w:cs="Arial" w:eastAsia="Arial" w:hAnsi="Arial"/>
          <w:b/>
          <w:bCs/>
          <w:color w:val="1F5FBF"/>
          <w:sz w:val="26"/>
          <w:szCs w:val="26"/>
        </w:rPr>
        <w:t xml:space="preserve">Slide 15 – Section: Pending Items</w:t>
      </w:r>
    </w:p>
    <w:p>
      <w:pPr>
        <w:spacing w:after="120"/>
      </w:pPr>
      <w:r>
        <w:rPr>
          <w:rFonts w:ascii="Arial" w:cs="Arial" w:eastAsia="Arial" w:hAnsi="Arial"/>
          <w:sz w:val="22"/>
          <w:szCs w:val="22"/>
        </w:rPr>
        <w:t xml:space="preserve">Finally, open items and year-end preparation.</w:t>
      </w:r>
    </w:p>
    <w:p>
      <w:pPr>
        <w:pStyle w:val="Heading1"/>
        <w:pBdr>
          <w:bottom w:val="single" w:color="1F5FBF" w:sz="6" w:space="2"/>
        </w:pBdr>
        <w:spacing w:after="120" w:before="300"/>
      </w:pPr>
      <w:r>
        <w:rPr>
          <w:rFonts w:ascii="Arial" w:cs="Arial" w:eastAsia="Arial" w:hAnsi="Arial"/>
          <w:b/>
          <w:bCs/>
          <w:color w:val="1F5FBF"/>
          <w:sz w:val="26"/>
          <w:szCs w:val="26"/>
        </w:rPr>
        <w:t xml:space="preserve">Slide 16 – Pending Items and Year-end Preparation</w:t>
      </w:r>
    </w:p>
    <w:p>
      <w:pPr>
        <w:spacing w:after="120"/>
      </w:pPr>
      <w:r>
        <w:rPr>
          <w:rFonts w:ascii="Arial" w:cs="Arial" w:eastAsia="Arial" w:hAnsi="Arial"/>
          <w:sz w:val="22"/>
          <w:szCs w:val="22"/>
        </w:rPr>
        <w:t xml:space="preserve">On the left are the items we need from you:</w:t>
      </w:r>
    </w:p>
    <w:p>
      <w:pPr>
        <w:pStyle w:val="ListParagraph"/>
        <w:numPr>
          <w:ilvl w:val="0"/>
          <w:numId w:val="2"/>
        </w:numPr>
        <w:spacing w:after="80"/>
      </w:pPr>
      <w:r>
        <w:rPr>
          <w:rFonts w:ascii="Arial" w:cs="Arial" w:eastAsia="Arial" w:hAnsi="Arial"/>
          <w:sz w:val="22"/>
          <w:szCs w:val="22"/>
        </w:rPr>
        <w:t xml:space="preserve">For Taxotere, the invoice and delivery documents for the October transfer.</w:t>
      </w:r>
    </w:p>
    <w:p>
      <w:pPr>
        <w:pStyle w:val="ListParagraph"/>
        <w:numPr>
          <w:ilvl w:val="0"/>
          <w:numId w:val="2"/>
        </w:numPr>
        <w:spacing w:after="80"/>
      </w:pPr>
      <w:r>
        <w:rPr>
          <w:rFonts w:ascii="Arial" w:cs="Arial" w:eastAsia="Arial" w:hAnsi="Arial"/>
          <w:sz w:val="22"/>
          <w:szCs w:val="22"/>
        </w:rPr>
        <w:t xml:space="preserve">For Caprelsa, the APA, Closing date, TDA and HQ guidance, once the group shares them.</w:t>
      </w:r>
    </w:p>
    <w:p>
      <w:pPr>
        <w:pStyle w:val="ListParagraph"/>
        <w:numPr>
          <w:ilvl w:val="0"/>
          <w:numId w:val="2"/>
        </w:numPr>
        <w:spacing w:after="80"/>
      </w:pPr>
      <w:r>
        <w:rPr>
          <w:rFonts w:ascii="Arial" w:cs="Arial" w:eastAsia="Arial" w:hAnsi="Arial"/>
          <w:sz w:val="22"/>
          <w:szCs w:val="22"/>
        </w:rPr>
        <w:t xml:space="preserve">For Action share, the group’s accounting treatment and the cost for SAK.</w:t>
      </w:r>
    </w:p>
    <w:p>
      <w:pPr>
        <w:pStyle w:val="ListParagraph"/>
        <w:numPr>
          <w:ilvl w:val="0"/>
          <w:numId w:val="2"/>
        </w:numPr>
        <w:spacing w:after="80"/>
      </w:pPr>
      <w:r>
        <w:rPr>
          <w:rFonts w:ascii="Arial" w:cs="Arial" w:eastAsia="Arial" w:hAnsi="Arial"/>
          <w:sz w:val="22"/>
          <w:szCs w:val="22"/>
        </w:rPr>
        <w:t xml:space="preserve">For Banpo, the latest quote for the restoration works.</w:t>
      </w:r>
    </w:p>
    <w:p>
      <w:pPr>
        <w:pStyle w:val="ListParagraph"/>
        <w:numPr>
          <w:ilvl w:val="0"/>
          <w:numId w:val="2"/>
        </w:numPr>
        <w:spacing w:after="80"/>
      </w:pPr>
      <w:r>
        <w:rPr>
          <w:rFonts w:ascii="Arial" w:cs="Arial" w:eastAsia="Arial" w:hAnsi="Arial"/>
          <w:sz w:val="22"/>
          <w:szCs w:val="22"/>
        </w:rPr>
        <w:t xml:space="preserve">And for control testing: the revenue evidence by the end of November, the purchase evidence by the end of October, and the remaining walkthrough evidence for fixed assets.</w:t>
      </w:r>
    </w:p>
    <w:p>
      <w:pPr>
        <w:spacing w:after="120"/>
      </w:pPr>
      <w:r>
        <w:rPr>
          <w:rFonts w:ascii="Arial" w:cs="Arial" w:eastAsia="Arial" w:hAnsi="Arial"/>
          <w:sz w:val="22"/>
          <w:szCs w:val="22"/>
        </w:rPr>
        <w:t xml:space="preserve">On the right is the year-end timeline: the inventory count on December 29, bank, legal and AR/AP confirmations in early January, and the draft financial statements and notes before we start fieldwork in February.</w:t>
      </w:r>
    </w:p>
    <w:p>
      <w:pPr>
        <w:pStyle w:val="Heading1"/>
        <w:pBdr>
          <w:bottom w:val="single" w:color="1F5FBF" w:sz="6" w:space="2"/>
        </w:pBdr>
        <w:spacing w:after="120" w:before="300"/>
      </w:pPr>
      <w:r>
        <w:rPr>
          <w:rFonts w:ascii="Arial" w:cs="Arial" w:eastAsia="Arial" w:hAnsi="Arial"/>
          <w:b/>
          <w:bCs/>
          <w:color w:val="1F5FBF"/>
          <w:sz w:val="26"/>
          <w:szCs w:val="26"/>
        </w:rPr>
        <w:t xml:space="preserve">Closing</w:t>
      </w:r>
    </w:p>
    <w:p>
      <w:pPr>
        <w:spacing w:after="120"/>
      </w:pPr>
      <w:r>
        <w:rPr>
          <w:rFonts w:ascii="Arial" w:cs="Arial" w:eastAsia="Arial" w:hAnsi="Arial"/>
          <w:sz w:val="22"/>
          <w:szCs w:val="22"/>
        </w:rPr>
        <w:t xml:space="preserve">That’s everything from our side. Thank you for your support during the interim audit.</w:t>
      </w:r>
    </w:p>
    <w:p>
      <w:pPr>
        <w:spacing w:after="120"/>
      </w:pPr>
      <w:r>
        <w:rPr>
          <w:rFonts w:ascii="Arial" w:cs="Arial" w:eastAsia="Arial" w:hAnsi="Arial"/>
          <w:sz w:val="22"/>
          <w:szCs w:val="22"/>
        </w:rPr>
        <w:t xml:space="preserve">Do you have any questions, or anything you’d like to discuss?</w:t>
      </w:r>
    </w:p>
    <w:p>
      <w:pPr>
        <w:pStyle w:val="Heading1"/>
        <w:pBdr>
          <w:bottom w:val="single" w:color="1F5FBF" w:sz="6" w:space="2"/>
        </w:pBdr>
        <w:spacing w:after="120" w:before="400"/>
      </w:pPr>
      <w:r>
        <w:rPr>
          <w:rFonts w:ascii="Arial" w:cs="Arial" w:eastAsia="Arial" w:hAnsi="Arial"/>
          <w:b/>
          <w:bCs/>
          <w:color w:val="1F5FBF"/>
          <w:sz w:val="26"/>
          <w:szCs w:val="26"/>
        </w:rPr>
        <w:t xml:space="preserve">Possible Questions (Q&amp;A)</w:t>
      </w:r>
    </w:p>
    <w:p>
      <w:pPr>
        <w:spacing w:after="60" w:before="120"/>
      </w:pPr>
      <w:r>
        <w:rPr>
          <w:rFonts w:ascii="Arial" w:cs="Arial" w:eastAsia="Arial" w:hAnsi="Arial"/>
          <w:b/>
          <w:bCs/>
          <w:sz w:val="22"/>
          <w:szCs w:val="22"/>
        </w:rPr>
        <w:t xml:space="preserve">Q. Why is #5 revenue, when #1 is non-operating?</w:t>
      </w:r>
    </w:p>
    <w:p>
      <w:pPr>
        <w:spacing w:after="120"/>
      </w:pPr>
      <w:r>
        <w:rPr>
          <w:rFonts w:ascii="Arial" w:cs="Arial" w:eastAsia="Arial" w:hAnsi="Arial"/>
          <w:sz w:val="22"/>
          <w:szCs w:val="22"/>
        </w:rPr>
        <w:t xml:space="preserve">A. Number 1 was part of the business sale under the APA. The stock never actually moved, and it was bought back the same day, so treating it as revenue would count the same goods twice. Number 5 is different: the goods were actually delivered to Boryung under the TDA, with no buy-back. It’s a normal sale of goods, and the group instructions book it as third-party sales.</w:t>
      </w:r>
    </w:p>
    <w:p>
      <w:pPr>
        <w:spacing w:after="60" w:before="120"/>
      </w:pPr>
      <w:r>
        <w:rPr>
          <w:rFonts w:ascii="Arial" w:cs="Arial" w:eastAsia="Arial" w:hAnsi="Arial"/>
          <w:b/>
          <w:bCs/>
          <w:sz w:val="22"/>
          <w:szCs w:val="22"/>
        </w:rPr>
        <w:t xml:space="preserve">Q. Why should SAK book the Action share cost if nobody charges it to us?</w:t>
      </w:r>
    </w:p>
    <w:p>
      <w:pPr>
        <w:spacing w:after="120"/>
      </w:pPr>
      <w:r>
        <w:rPr>
          <w:rFonts w:ascii="Arial" w:cs="Arial" w:eastAsia="Arial" w:hAnsi="Arial"/>
          <w:sz w:val="22"/>
          <w:szCs w:val="22"/>
        </w:rPr>
        <w:t xml:space="preserve">A. Because SAK’s employees get the benefit. Under K-GAAP, the subsidiary books the cost even when the parent pays for it, and treats it as a capital contribution. So profit goes down, but total equity stays the same.</w:t>
      </w:r>
    </w:p>
    <w:p>
      <w:pPr>
        <w:spacing w:after="60" w:before="120"/>
      </w:pPr>
      <w:r>
        <w:rPr>
          <w:rFonts w:ascii="Arial" w:cs="Arial" w:eastAsia="Arial" w:hAnsi="Arial"/>
          <w:b/>
          <w:bCs/>
          <w:sz w:val="22"/>
          <w:szCs w:val="22"/>
        </w:rPr>
        <w:t xml:space="preserve">Q. Do we really need to reverse the 2.9 billion won?</w:t>
      </w:r>
    </w:p>
    <w:p>
      <w:pPr>
        <w:spacing w:after="120"/>
      </w:pPr>
      <w:r>
        <w:rPr>
          <w:rFonts w:ascii="Arial" w:cs="Arial" w:eastAsia="Arial" w:hAnsi="Arial"/>
          <w:sz w:val="22"/>
          <w:szCs w:val="22"/>
        </w:rPr>
        <w:t xml:space="preserve">A. Only if there’s no plan to use it. If there’s a formal plan for those employees, please share it and we’ll review it.</w:t>
      </w:r>
    </w:p>
    <w:p>
      <w:pPr>
        <w:spacing w:after="60" w:before="120"/>
      </w:pPr>
      <w:r>
        <w:rPr>
          <w:rFonts w:ascii="Arial" w:cs="Arial" w:eastAsia="Arial" w:hAnsi="Arial"/>
          <w:b/>
          <w:bCs/>
          <w:sz w:val="22"/>
          <w:szCs w:val="22"/>
        </w:rPr>
        <w:t xml:space="preserve">Q. Is the Banpo depreciation change a big number?</w:t>
      </w:r>
    </w:p>
    <w:p>
      <w:pPr>
        <w:spacing w:after="120"/>
      </w:pPr>
      <w:r>
        <w:rPr>
          <w:rFonts w:ascii="Arial" w:cs="Arial" w:eastAsia="Arial" w:hAnsi="Arial"/>
          <w:sz w:val="22"/>
          <w:szCs w:val="22"/>
        </w:rPr>
        <w:t xml:space="preserve">A. Not really. The asset is mostly depreciated already, so the change mainly moves a small amount into next year.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2026-10-27T23:34:45.006Z</dcterms:created>
  <dcterms:modified xsi:type="dcterms:W3CDTF">2026-10-27T23:34:45.014Z</dcterms:modified>
</cp:coreProperties>
</file>

<file path=docProps/custom.xml><?xml version="1.0" encoding="utf-8"?>
<Properties xmlns="http://schemas.openxmlformats.org/officeDocument/2006/custom-properties" xmlns:vt="http://schemas.openxmlformats.org/officeDocument/2006/docPropsVTypes"/>
</file>