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highlight w:val="yellow"/>
        </w:rPr>
        <w:t xml:space="preserve">for the year ended </w:t>
      </w:r>
      <w:r w:rsidR="00FB2E77">
        <w:rPr>
          <w:rFonts w:ascii="Georgia" w:hAnsi="Georgia"/>
          <w:b/>
          <w:color w:val="003366"/>
          <w:sz w:val="56"/>
          <w:lang w:val="en-US"/>
          <w:highlight w:val="yellow"/>
        </w:rPr>
        <w:t xml:space="preserve">December 31, 2026</w:t>
      </w:r>
      <w:r w:rsidR="00505F6C">
        <w:rPr>
          <w:rFonts w:ascii="Georgia" w:hAnsi="Georgia"/>
          <w:b/>
          <w:color w:val="003366"/>
          <w:sz w:val="56"/>
          <w:lang w:val="en-US"/>
          <w:highlight w:val="yellow"/>
        </w:rPr>
        <w:t xml:space="preserve"/>
      </w:r>
      <w:r w:rsidR="005E0F1C">
        <w:rPr>
          <w:rFonts w:ascii="Georgia" w:hAnsi="Georgia" w:hint="eastAsia"/>
          <w:b/>
          <w:color w:val="003366"/>
          <w:sz w:val="56"/>
          <w:lang w:val="en-US" w:eastAsia="ko-KR"/>
          <w:highlight w:val="yellow"/>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highlight w:val="yellow"/>
        </w:rPr>
        <w:t>T</w:t>
      </w:r>
      <w:r w:rsidRPr="00C57BE9">
        <w:rPr>
          <w:lang w:val="en-GB"/>
          <w:highlight w:val="yellow"/>
        </w:rPr>
        <w:t xml:space="preserve">he </w:t>
      </w:r>
      <w:r>
        <w:rPr>
          <w:lang w:val="en-GB"/>
          <w:highlight w:val="yellow"/>
        </w:rPr>
        <w:t>Group</w:t>
      </w:r>
      <w:r w:rsidRPr="00C57BE9">
        <w:rPr>
          <w:lang w:val="en-GB"/>
          <w:highlight w:val="yellow"/>
        </w:rPr>
        <w:t xml:space="preserve"> engagement team</w:t>
      </w:r>
      <w:r w:rsidR="00613F48">
        <w:rPr>
          <w:lang w:val="en-GB"/>
          <w:highlight w:val="yellow"/>
        </w:rPr>
        <w:t xml:space="preserve"> of</w:t>
      </w:r>
      <w:r w:rsidRPr="00C57BE9">
        <w:rPr>
          <w:lang w:val="en-GB"/>
          <w:highlight w:val="yellow"/>
        </w:rPr>
        <w:t xml:space="preserve"> </w:t>
      </w:r>
      <w:r w:rsidR="00FB2E77">
        <w:rPr>
          <w:lang w:val="en-GB"/>
          <w:highlight w:val="yellow"/>
        </w:rPr>
        <w:t xml:space="preserve"/>
      </w:r>
      <w:r w:rsidR="00FB2E77">
        <w:rPr>
          <w:lang w:val="en-GB"/>
          <w:highlight w:val="yellow"/>
        </w:rPr>
        <w:t xml:space="preserve">Forvis Mazars Sebit (Korea)</w:t>
      </w:r>
      <w:r w:rsidR="00F22189" w:rsidRPr="00C57BE9">
        <w:rPr>
          <w:lang w:val="en-GB"/>
          <w:highlight w:val="yellow"/>
        </w:rPr>
        <w:t xml:space="preserve"> has been engaged to express an audit opinion on the </w:t>
      </w:r>
      <w:r>
        <w:rPr>
          <w:lang w:val="en-GB"/>
          <w:highlight w:val="yellow"/>
        </w:rPr>
        <w:t>Group</w:t>
      </w:r>
      <w:r w:rsidR="00F22189" w:rsidRPr="00C57BE9">
        <w:rPr>
          <w:lang w:val="en-GB"/>
          <w:highlight w:val="yellow"/>
        </w:rPr>
        <w:t xml:space="preserve"> financial statements of </w:t>
      </w:r>
      <w:r w:rsidR="00F22189">
        <w:rPr>
          <w:lang w:val="en-GB"/>
          <w:highlight w:val="yellow"/>
        </w:rPr>
        <w:t xml:space="preserve">the </w:t>
      </w:r>
      <w:r>
        <w:rPr>
          <w:lang w:val="en-GB"/>
          <w:highlight w:val="yellow"/>
        </w:rPr>
        <w:t>Group</w:t>
      </w:r>
      <w:r w:rsidR="00FB2E77">
        <w:rPr>
          <w:lang w:val="en-GB"/>
          <w:highlight w:val="yellow"/>
        </w:rPr>
        <w:t xml:space="preserve"> Faurecia Korea</w:t>
      </w:r>
      <w:r>
        <w:rPr>
          <w:lang w:val="en-GB"/>
          <w:highlight w:val="yellow"/>
        </w:rPr>
        <w:t xml:space="preserve"> (“the Group”)</w:t>
      </w:r>
      <w:r w:rsidRPr="00C57BE9">
        <w:rPr>
          <w:lang w:val="en-GB"/>
          <w:highlight w:val="yellow"/>
        </w:rPr>
        <w:t xml:space="preserve">, </w:t>
      </w:r>
      <w:r w:rsidR="00F22189" w:rsidRPr="00C57BE9">
        <w:rPr>
          <w:lang w:val="en-GB"/>
          <w:highlight w:val="yellow"/>
        </w:rPr>
        <w:t>for the year ending</w:t>
      </w:r>
      <w:r w:rsidR="00FB2E77">
        <w:rPr>
          <w:lang w:val="en-GB"/>
          <w:highlight w:val="yellow"/>
        </w:rPr>
        <w:t xml:space="preserve"> December 31, 2026</w:t>
      </w:r>
      <w:proofErr w:type="gramStart"/>
      <w:r w:rsidR="00FB2E77">
        <w:rPr>
          <w:lang w:val="en-GB"/>
          <w:highlight w:val="yellow"/>
        </w:rPr>
        <w:t xml:space="preserve"/>
      </w:r>
      <w:r w:rsidR="00A66D61">
        <w:rPr>
          <w:lang w:val="en-GB"/>
          <w:highlight w:val="yellow"/>
        </w:rPr>
        <w:t xml:space="preserve"/>
      </w:r>
      <w:r w:rsidR="00C26653">
        <w:rPr>
          <w:rFonts w:hint="eastAsia"/>
          <w:lang w:val="en-GB" w:eastAsia="ko-KR"/>
          <w:highlight w:val="yellow"/>
        </w:rPr>
        <w:t xml:space="preserve"/>
      </w:r>
      <w:proofErr w:type="gramEnd"/>
      <w:r w:rsidR="00F22189" w:rsidRPr="00C57BE9">
        <w:rPr>
          <w:lang w:val="en-GB"/>
          <w:highlight w:val="yellow"/>
        </w:rPr>
        <w:t xml:space="preserve"> in accordance with </w:t>
      </w:r>
      <w:r w:rsidR="00FB2E77" w:rsidRPr="0041214E">
        <w:rPr>
          <w:lang w:val="en-GB"/>
          <w:highlight w:val="yellow"/>
        </w:rPr>
        <w:t>International Standards on Auditing</w:t>
      </w:r>
      <w:r w:rsidR="00F22189" w:rsidRPr="00C57BE9">
        <w:rPr>
          <w:i/>
          <w:lang w:val="en-GB"/>
          <w:highlight w:val="yellow"/>
        </w:rPr>
        <w:t>.</w:t>
      </w:r>
      <w:r w:rsidR="00F22189" w:rsidRPr="00C57BE9">
        <w:rPr>
          <w:lang w:val="en-GB"/>
          <w:highlight w:val="yellow"/>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highlight w:val="yellow"/>
        </w:rPr>
        <w:t xml:space="preserve">deliver an independent auditors’ report in accordance with International Standards on Auditing (ISA) on the </w:t>
      </w:r>
      <w:r w:rsidR="00B3753E" w:rsidRPr="008B43A9">
        <w:rPr>
          <w:lang w:val="en-GB"/>
          <w:highlight w:val="yellow"/>
        </w:rPr>
        <w:t>Group</w:t>
      </w:r>
      <w:r w:rsidRPr="008B43A9">
        <w:rPr>
          <w:lang w:val="en-GB"/>
          <w:highlight w:val="yellow"/>
        </w:rPr>
        <w:t xml:space="preserve"> financial statements of</w:t>
      </w:r>
      <w:r w:rsidR="0039662C" w:rsidRPr="008B43A9">
        <w:rPr>
          <w:lang w:val="en-GB"/>
          <w:highlight w:val="yellow"/>
        </w:rPr>
        <w:t xml:space="preserve"> Faurecia Korea Group</w:t>
      </w:r>
      <w:r w:rsidRPr="008B43A9">
        <w:rPr>
          <w:lang w:val="en-GB"/>
          <w:highlight w:val="yellow"/>
        </w:rPr>
        <w:t xml:space="preserve"> and for the year ended</w:t>
      </w:r>
      <w:r w:rsidR="00FB2E77" w:rsidRPr="008B43A9">
        <w:rPr>
          <w:lang w:val="en-GB"/>
          <w:highlight w:val="yellow"/>
        </w:rPr>
        <w:t xml:space="preserve"> December 31, 2026</w:t>
      </w:r>
      <w:r w:rsidR="00257513" w:rsidRPr="008B43A9">
        <w:rPr>
          <w:lang w:val="en-GB"/>
          <w:highlight w:val="yellow"/>
        </w:rPr>
        <w:t xml:space="preserve"/>
      </w:r>
      <w:r w:rsidR="00C26653">
        <w:rPr>
          <w:rFonts w:hint="eastAsia"/>
          <w:lang w:val="en-GB" w:eastAsia="ko-KR"/>
          <w:highlight w:val="yellow"/>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highlight w:val="yellow"/>
        </w:rPr>
        <w:t xml:space="preserve">The International Federation of Accountants (“IFAC”) Code of Ethics is applicable as a minimum, together with your own firm’s code of ethics and independence policies.</w:t>
      </w:r>
    </w:p>
    <w:p w14:paraId="4A0352C4" w14:textId="77777777" w:rsidR="00F22189" w:rsidRPr="00837342" w:rsidRDefault="00F22189" w:rsidP="00F22189">
      <w:pPr>
        <w:rPr>
          <w:lang w:val="en-US"/>
        </w:rPr>
      </w:pPr>
      <w:r w:rsidRPr="00837342">
        <w:rPr>
          <w:lang w:val="en-US"/>
          <w:highlight w:val="yellow"/>
        </w:rPr>
        <w:t xml:space="preserve">Where the local requirements in respect of independence are stricter than the IFAC Code of Ethics, or there are country specific matters, those stricter requirements apply.</w:t>
      </w:r>
      <w:proofErr w:type="gramStart"/>
      <w:proofErr w:type="gramEnd"/>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highlight w:val="yellow"/>
              </w:rPr>
              <w:t xml:space="preserve">hyun-ho.shim@forvismazars.com</w:t>
            </w:r>
            <w:r w:rsidR="00406AB3" w:rsidRPr="00F12021">
              <w:rPr>
                <w:rStyle w:val="a3"/>
                <w:rFonts w:eastAsiaTheme="minorEastAsia"/>
                <w:sz w:val="20"/>
                <w:szCs w:val="20"/>
              </w:rPr>
              <w:t xml:space="preserve"/>
            </w:r>
            <w:r w:rsidR="00F12021" w:rsidRPr="00F12021">
              <w:rPr>
                <w:rStyle w:val="a3"/>
                <w:rFonts w:eastAsiaTheme="minorEastAsia" w:hint="eastAsia"/>
                <w:sz w:val="20"/>
                <w:szCs w:val="20"/>
                <w:lang w:eastAsia="ko-KR"/>
              </w:rPr>
              <w:t xml:space="preserve"/>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highlight w:val="yellow"/>
              </w:rPr>
              <w:t xml:space="preserve">se-hoon.han@forvismazars.com</w:t>
            </w:r>
            <w:proofErr w:type="spellStart"/>
            <w:r w:rsidR="00406AB3" w:rsidRPr="00F12021">
              <w:rPr>
                <w:rStyle w:val="a3"/>
                <w:rFonts w:eastAsiaTheme="minorEastAsia"/>
                <w:sz w:val="20"/>
                <w:szCs w:val="20"/>
                <w:lang w:val="en-GB" w:eastAsia="ko-KR"/>
              </w:rPr>
              <w:t xml:space="preserve"/>
            </w:r>
            <w:proofErr w:type="spellEnd"/>
            <w:r w:rsidR="00406AB3" w:rsidRPr="00F12021">
              <w:rPr>
                <w:rStyle w:val="a3"/>
                <w:rFonts w:eastAsiaTheme="minorEastAsia"/>
                <w:sz w:val="20"/>
                <w:szCs w:val="20"/>
                <w:lang w:val="en-GB" w:eastAsia="ko-KR"/>
              </w:rPr>
              <w:t xml:space="preserve"/>
            </w:r>
            <w:r w:rsidR="00F12021" w:rsidRPr="00F12021">
              <w:rPr>
                <w:rStyle w:val="a3"/>
                <w:rFonts w:eastAsiaTheme="minorEastAsia" w:hint="eastAsia"/>
                <w:sz w:val="20"/>
                <w:szCs w:val="20"/>
                <w:lang w:eastAsia="ko-KR"/>
              </w:rPr>
              <w:t xml:space="preserve"/>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highlight w:val="yellow"/>
        </w:rPr>
        <w:t xml:space="preserve">No significant change from the component audit </w:t>
      </w:r>
      <w:proofErr w:type="gramStart"/>
      <w:r w:rsidRPr="00F12021">
        <w:rPr>
          <w:lang w:val="en-GB"/>
          <w:highlight w:val="yellow"/>
        </w:rPr>
        <w:t>perspective</w:t>
      </w:r>
      <w:r>
        <w:rPr>
          <w:rFonts w:hint="eastAsia"/>
          <w:lang w:val="en-GB" w:eastAsia="ko-KR"/>
          <w:highlight w:val="yellow"/>
        </w:rPr>
        <w:t xml:space="preserve"> ;</w:t>
      </w:r>
      <w:proofErr w:type="gramEnd"/>
      <w:r>
        <w:rPr>
          <w:rFonts w:hint="eastAsia"/>
          <w:lang w:val="en-GB" w:eastAsia="ko-KR"/>
          <w:highlight w:val="yellow"/>
        </w:rPr>
        <w:t xml:space="preserve"> </w:t>
      </w:r>
      <w:r w:rsidR="004C12F3">
        <w:rPr>
          <w:lang w:val="en-GB"/>
          <w:highlight w:val="yellow"/>
        </w:rPr>
        <w:t xml:space="preserve">We highlight that </w:t>
      </w:r>
      <w:r w:rsidR="004C12F3" w:rsidRPr="004C12F3">
        <w:rPr>
          <w:lang w:val="en-GB"/>
          <w:highlight w:val="yellow"/>
        </w:rPr>
        <w:t>Faurecia Emissions Control Technologies India Private Ltd.</w:t>
      </w:r>
      <w:r w:rsidR="004C12F3">
        <w:rPr>
          <w:lang w:val="en-GB"/>
          <w:highlight w:val="yellow"/>
        </w:rPr>
        <w:t xml:space="preserve"> (</w:t>
      </w:r>
      <w:r w:rsidR="004C12F3" w:rsidRPr="004C12F3">
        <w:rPr>
          <w:lang w:val="en-GB"/>
          <w:highlight w:val="yellow"/>
        </w:rPr>
        <w:t>IN04</w:t>
      </w:r>
      <w:r w:rsidR="004C12F3">
        <w:rPr>
          <w:lang w:val="en-GB"/>
          <w:highlight w:val="yellow"/>
        </w:rPr>
        <w:t xml:space="preserve">) is </w:t>
      </w:r>
      <w:r w:rsidR="003E66FA">
        <w:rPr>
          <w:lang w:val="en-GB"/>
          <w:highlight w:val="yellow"/>
        </w:rPr>
        <w:t xml:space="preserve">in </w:t>
      </w:r>
      <w:r>
        <w:rPr>
          <w:rFonts w:hint="eastAsia"/>
          <w:lang w:val="en-GB" w:eastAsia="ko-KR"/>
          <w:highlight w:val="yellow"/>
        </w:rPr>
        <w:t xml:space="preserve">still </w:t>
      </w:r>
      <w:proofErr w:type="gramStart"/>
      <w:r w:rsidR="003E66FA">
        <w:rPr>
          <w:lang w:val="en-GB"/>
          <w:highlight w:val="yellow"/>
        </w:rPr>
        <w:t>full-scope</w:t>
      </w:r>
      <w:proofErr w:type="gramEnd"/>
      <w:r w:rsidR="003E66FA">
        <w:rPr>
          <w:lang w:val="en-GB"/>
          <w:highlight w:val="yellow"/>
        </w:rPr>
        <w:t xml:space="preserve"> for the year ending December 31, 2026</w:t>
      </w:r>
      <w:r w:rsidR="00DD557A">
        <w:rPr>
          <w:lang w:val="en-GB"/>
          <w:highlight w:val="yellow"/>
        </w:rPr>
        <w:t xml:space="preserve"/>
      </w:r>
      <w:r w:rsidR="006B6E7B">
        <w:rPr>
          <w:rFonts w:hint="eastAsia"/>
          <w:lang w:val="en-GB" w:eastAsia="ko-KR"/>
          <w:highlight w:val="yellow"/>
        </w:rPr>
        <w:t xml:space="preserve"/>
      </w:r>
      <w:r w:rsidR="003E66FA">
        <w:rPr>
          <w:lang w:val="en-GB"/>
          <w:highlight w:val="yellow"/>
        </w:rPr>
        <w:t xml:space="preserve">. </w:t>
      </w:r>
    </w:p>
    <w:p w14:paraId="3208BC95" w14:textId="096A4C6E" w:rsidR="0098042E" w:rsidRDefault="0098042E" w:rsidP="00876C8F">
      <w:pPr>
        <w:pStyle w:val="a6"/>
        <w:numPr>
          <w:ilvl w:val="0"/>
          <w:numId w:val="18"/>
        </w:numPr>
        <w:rPr>
          <w:lang w:val="en-US"/>
        </w:rPr>
      </w:pPr>
      <w:r>
        <w:rPr>
          <w:lang w:val="en-US"/>
          <w:highlight w:val="yellow"/>
        </w:rPr>
        <w:t xml:space="preserve">Changes in these instructions compared with the prior year</w:t>
      </w:r>
    </w:p>
    <w:p w14:paraId="6CD2F327" w14:textId="2C862C58" w:rsidR="000B1C18" w:rsidRDefault="00D32AA0" w:rsidP="000B1C18">
      <w:pPr>
        <w:rPr>
          <w:lang w:val="en-US"/>
        </w:rPr>
      </w:pPr>
      <w:r>
        <w:rPr>
          <w:lang w:val="en-US"/>
          <w:highlight w:val="yellow"/>
        </w:rPr>
        <w:t xml:space="preserve">[Updated - shown in yellow] (i) period references and reporting deadlines rolled forward to the year ending December 31, 2026; (ii) Group background and significant developments refreshed from the Forvia Group auditor’s HY26 instructions (Ignite plan, COLORADO disposal, SIMPLIFY project); (iii) the Mazars Audit Manual requirement removed; (iv) component auditor procedures over intercompany balances and transactions added; (v) fraud risk factors, journal entry selection criteria and the data extraction process added; (vi) a new section on the use of technological resources, including Technology Audit Solutions and GenAI; and (vii) component materiality levels updated.</w:t>
      </w:r>
    </w:p>
    <w:p w14:paraId="6CD2F327" w14:textId="2C862C58" w:rsidR="000B1C18" w:rsidRDefault="00D32AA0" w:rsidP="000B1C18">
      <w:pPr>
        <w:rPr>
          <w:lang w:val="en-US"/>
        </w:rPr>
      </w:pPr>
      <w:r>
        <w:rPr>
          <w:lang w:val="en-US"/>
          <w:highlight w:val="cyan"/>
        </w:rPr>
        <w:t xml:space="preserve">[To be confirmed - shown in turquoise] (a) the Group background and technological resources sections are sourced from the Forvia Group auditor’s HY26 interim review instructions and are to be re-confirmed against the Forvia FY2026 annual instructions when received; (b) the reporting deadlines have been set on the same weekday as the prior year and require confirmation; and (c) the component materiality levels for IN04 are to be compared with your own statutory audit materiality once notified to us in Appendix A.</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w:t>
      </w:r>
      <w:r>
        <w:rPr>
          <w:lang w:val="en-GB"/>
        </w:rPr>
        <w:t xml:space="preserve"/>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Group’s consolidated sales amounted to € 26 billion in 2025 before IFRS 5 application.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rPr>
          <w:highlight w:val="yellow"/>
        </w:rP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rPr>
          <w:highlight w:val="yellow"/>
        </w:rPr>
        <w:t xml:space="preserve">Further information about Forvia’ operations can be found in the Company’s “2025 Universal Registration Document”.</w:t>
      </w:r>
      <w:r>
        <w:rPr>
          <w:highlight w:val="yellow"/>
        </w:rPr>
        <w:t xml:space="preserve"> </w:t>
      </w:r>
      <w:r w:rsidRPr="000009F1">
        <w:rPr>
          <w:highlight w:val="yellow"/>
        </w:rPr>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highlight w:val="yellow"/>
        </w:rPr>
        <w:t xml:space="preserve">Divestment program</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Ignite plan, Forvia aims to strengthen the Group’s positioning, to reduce organizational complexity, and to achieve financial flexibility through debt reduction. The plan is based on a revised portfolio structure, distinguishing between “Growth” activities (Electronics and Seating) and “Value” activities (Clarion, Clean Mobility, Lifecycle Solutions, Lighting).</w:t>
      </w:r>
    </w:p>
    <w:p w14:paraId="4FFD372B" w14:textId="5DD5B028" w:rsidR="00FB2E77" w:rsidRPr="00D1671A" w:rsidRDefault="00FB2E77" w:rsidP="0076300F">
      <w:pPr>
        <w:rPr>
          <w:lang w:val="en-GB" w:eastAsia="ko-KR"/>
        </w:rPr>
      </w:pPr>
      <w:r>
        <w:rPr>
          <w:rFonts w:hint="eastAsia"/>
          <w:lang w:val="en-GB" w:eastAsia="ko-KR"/>
          <w:highlight w:val="yellow"/>
        </w:rPr>
        <w:t xml:space="preserve">As part of this strategy, Forvia continues to execute its divestment program, including the ongoing disposal process related to the Interiors business (“COLORADO”) and other potential divestitures.</w:t>
      </w:r>
    </w:p>
    <w:p w14:paraId="207D7B25" w14:textId="77777777" w:rsidR="00101174" w:rsidRDefault="00101174" w:rsidP="00101174">
      <w:pPr>
        <w:rPr>
          <w:rFonts w:cs="Arial"/>
          <w:b/>
        </w:rPr>
      </w:pPr>
      <w:r w:rsidRPr="00CA694C">
        <w:rPr>
          <w:rFonts w:cs="Arial"/>
          <w:b/>
          <w:u w:val="single"/>
          <w:highlight w:val="yellow"/>
        </w:rPr>
        <w:t xml:space="preserve">EU- FORWARD &amp; Simplify plans</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The Ignite plan relies on the execution of both the EU-FORWARD and Simplify programs, which are designed to enhance Forvia’s competitiveness and reinforce cost discipline and cash management in a volatile market environment.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highlight w:val="yellow"/>
        </w:rPr>
        <w:t>“</w:t>
      </w:r>
      <w:r w:rsidRPr="001D70FE">
        <w:rPr>
          <w:highlight w:val="yellow"/>
        </w:rPr>
        <w:t>EU-FORWARD</w:t>
      </w:r>
      <w:r w:rsidRPr="001D70FE">
        <w:rPr>
          <w:rFonts w:hint="eastAsia"/>
          <w:highlight w:val="yellow"/>
        </w:rPr>
        <w:t>”</w:t>
      </w:r>
      <w:r w:rsidRPr="001D70FE">
        <w:rPr>
          <w:highlight w:val="yellow"/>
        </w:rPr>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rPr>
          <w:highlight w:val="yellow"/>
        </w:rPr>
        <w:lastRenderedPageBreak/>
        <w:t xml:space="preserve">Improve Forvia’s profitability in the region, thus rebalancing Forvia’s regional mix in terms of contribution to the Group’s performance. </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highlight w:val="yellow"/>
        </w:rPr>
        <w:t xml:space="preserve">In a nutshell, Forvia targets to significantly enhance the sustainable competitiveness of its operations in EMEA and, by 2028:</w:t>
      </w:r>
      <w:r w:rsidRPr="00CA694C" w:rsidDel="00345A44">
        <w:rPr>
          <w:rFonts w:cs="Arial"/>
          <w:lang w:val="en-GB"/>
          <w:highlight w:val="yellow"/>
        </w:rPr>
        <w:t xml:space="preserve"/>
      </w:r>
      <w:r w:rsidRPr="00CA694C">
        <w:rPr>
          <w:rFonts w:cs="Arial"/>
          <w:lang w:val="en-GB"/>
          <w:highlight w:val="yellow"/>
        </w:rPr>
        <w:t xml:space="preserve"/>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SIMPLIFY Project, the Group aims to reinvent its ways of working across SG&amp;A and indirect operations. It conducted a thorough benchmarking exercise to identify areas for improvement, leading to the definition of key structural levers, such as eliminating non-essential tasks, automating transactional activities with GenAI, and optimizing organizational design. The project ambition is to reduce the cost baseline by 110 million euros by 2028, supported by restructuring costs of c.150 million euros over 2025-2028.</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highlight w:val="yellow"/>
        </w:rPr>
        <w:t xml:space="preserve">Faurecia Korea Yeongcheon Co. Ltd.</w:t>
      </w:r>
      <w:r w:rsidRPr="00512F80">
        <w:rPr>
          <w:lang w:val="en-GB" w:eastAsia="ko-KR"/>
          <w:highlight w:val="yellow"/>
        </w:rPr>
        <w:t xml:space="preserve"/>
      </w:r>
      <w:proofErr w:type="spellStart"/>
      <w:r w:rsidR="00354B73" w:rsidRPr="00512F80">
        <w:rPr>
          <w:rFonts w:hint="eastAsia"/>
          <w:lang w:val="en-GB" w:eastAsia="ko-KR"/>
          <w:highlight w:val="yellow"/>
        </w:rPr>
        <w:t xml:space="preserve"/>
      </w:r>
      <w:r w:rsidR="00354B73" w:rsidRPr="00512F80">
        <w:rPr>
          <w:lang w:val="en-GB" w:eastAsia="ko-KR"/>
          <w:highlight w:val="yellow"/>
        </w:rPr>
        <w:t xml:space="preserve"/>
      </w:r>
      <w:proofErr w:type="spellEnd"/>
      <w:r w:rsidR="00B3583D">
        <w:rPr>
          <w:rFonts w:hint="eastAsia"/>
          <w:lang w:val="en-GB" w:eastAsia="ko-KR"/>
          <w:highlight w:val="yellow"/>
        </w:rPr>
        <w:t xml:space="preserve"/>
      </w:r>
      <w:r w:rsidR="00D71C74">
        <w:rPr>
          <w:rFonts w:hint="eastAsia"/>
          <w:lang w:val="en-GB" w:eastAsia="ko-KR"/>
          <w:highlight w:val="yellow"/>
        </w:rPr>
        <w:t xml:space="preserve"/>
      </w:r>
      <w:r w:rsidR="00354B73" w:rsidRPr="00512F80">
        <w:rPr>
          <w:lang w:val="en-GB" w:eastAsia="ko-KR"/>
          <w:highlight w:val="yellow"/>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highlight w:val="yellow"/>
              </w:rPr>
              <w:t xml:space="preserve">March 19, 2027</w:t>
            </w:r>
            <w:r w:rsidRPr="00966621">
              <w:rPr>
                <w:rFonts w:eastAsiaTheme="minorEastAsia"/>
                <w:sz w:val="20"/>
                <w:szCs w:val="20"/>
                <w:lang w:val="en-GB" w:eastAsia="ko-KR"/>
                <w:highlight w:val="yellow"/>
              </w:rPr>
              <w:t xml:space="preserve"/>
            </w:r>
            <w:r w:rsidR="00F12021">
              <w:rPr>
                <w:rFonts w:eastAsiaTheme="minorEastAsia" w:hint="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r w:rsidRPr="00966621">
              <w:rPr>
                <w:rFonts w:eastAsiaTheme="minor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highlight w:val="yellow"/>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highlight w:val="yellow"/>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highlight w:val="yellow"/>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highlight w:val="yellow"/>
        </w:rPr>
        <w:t xml:space="preserve">The reporting package </w:t>
      </w:r>
      <w:r w:rsidR="00BA6DCC" w:rsidRPr="0039662C">
        <w:rPr>
          <w:lang w:val="en-US"/>
          <w:highlight w:val="yellow"/>
        </w:rPr>
        <w:t xml:space="preserve">will be finalized by mid of January 2027</w:t>
      </w:r>
      <w:r w:rsidR="008C3466">
        <w:rPr>
          <w:rFonts w:hint="eastAsia"/>
          <w:lang w:val="en-US" w:eastAsia="ko-KR"/>
          <w:highlight w:val="yellow"/>
        </w:rPr>
        <w:t xml:space="preserve"/>
      </w:r>
      <w:r w:rsidR="00BA6DCC" w:rsidRPr="0039662C">
        <w:rPr>
          <w:lang w:val="en-US"/>
          <w:highlight w:val="yellow"/>
        </w:rPr>
        <w:t xml:space="preserve"> </w:t>
      </w:r>
      <w:r w:rsidR="000B1C18" w:rsidRPr="0039662C">
        <w:rPr>
          <w:lang w:val="en-US"/>
          <w:highlight w:val="yellow"/>
        </w:rPr>
        <w:t xml:space="preserve">Document the key schedules of the consolidation package and especially those for which the </w:t>
      </w:r>
      <w:r w:rsidR="00B3753E" w:rsidRPr="0039662C">
        <w:rPr>
          <w:lang w:val="en-US"/>
          <w:highlight w:val="yellow"/>
        </w:rPr>
        <w:t>Group</w:t>
      </w:r>
      <w:r w:rsidR="000B1C18" w:rsidRPr="0039662C">
        <w:rPr>
          <w:lang w:val="en-US"/>
          <w:highlight w:val="yellow"/>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highlight w:val="yellow"/>
        </w:rPr>
        <w:t xml:space="preserve">The Group decided to manage the fees centrally. Consequently, </w:t>
      </w:r>
      <w:proofErr w:type="gramStart"/>
      <w:r w:rsidRPr="00812AD8">
        <w:rPr>
          <w:lang w:val="en-GB"/>
          <w:highlight w:val="yellow"/>
        </w:rPr>
        <w:t>subsequent to</w:t>
      </w:r>
      <w:proofErr w:type="gramEnd"/>
      <w:r w:rsidRPr="00812AD8">
        <w:rPr>
          <w:lang w:val="en-GB"/>
          <w:highlight w:val="yellow"/>
        </w:rPr>
        <w:t xml:space="preserve"> the discussions held between the </w:t>
      </w:r>
      <w:r w:rsidR="00BA6DCC" w:rsidRPr="00812AD8">
        <w:rPr>
          <w:lang w:val="en-GB"/>
          <w:highlight w:val="yellow"/>
        </w:rPr>
        <w:t xml:space="preserve">Faurecia Group Accounting Director and Audit Committee, </w:t>
      </w:r>
      <w:r w:rsidRPr="00812AD8">
        <w:rPr>
          <w:lang w:val="en-GB"/>
          <w:highlight w:val="yellow"/>
        </w:rPr>
        <w:t xml:space="preserve">and the statutory auditor of the </w:t>
      </w:r>
      <w:r w:rsidR="00BA6DCC" w:rsidRPr="00812AD8">
        <w:rPr>
          <w:lang w:val="en-GB"/>
          <w:highlight w:val="yellow"/>
        </w:rPr>
        <w:t xml:space="preserve">Faurecia </w:t>
      </w:r>
      <w:r w:rsidRPr="00812AD8">
        <w:rPr>
          <w:lang w:val="en-GB"/>
          <w:highlight w:val="yellow"/>
        </w:rPr>
        <w:t>Group</w:t>
      </w:r>
      <w:r w:rsidR="00BA6DCC" w:rsidRPr="00812AD8">
        <w:rPr>
          <w:lang w:val="en-GB"/>
          <w:highlight w:val="yellow"/>
        </w:rPr>
        <w:t xml:space="preserve"> and Faurecia Korea Group</w:t>
      </w:r>
      <w:r w:rsidRPr="00812AD8">
        <w:rPr>
          <w:lang w:val="en-GB"/>
          <w:highlight w:val="yellow"/>
        </w:rPr>
        <w:t xml:space="preserve">, the audit fees for the year </w:t>
      </w:r>
      <w:r w:rsidR="00BA6DCC" w:rsidRPr="00812AD8">
        <w:rPr>
          <w:lang w:val="en-GB"/>
          <w:highlight w:val="yellow"/>
        </w:rPr>
        <w:t xml:space="preserve">December 31, 2026</w:t>
      </w:r>
      <w:proofErr w:type="gramStart"/>
      <w:r w:rsidR="00BA6DCC" w:rsidRPr="00812AD8">
        <w:rPr>
          <w:lang w:val="en-GB"/>
          <w:highlight w:val="yellow"/>
        </w:rPr>
        <w:t xml:space="preserve"/>
      </w:r>
      <w:r w:rsidR="00E841E8">
        <w:rPr>
          <w:lang w:val="en-GB"/>
          <w:highlight w:val="yellow"/>
        </w:rPr>
        <w:t xml:space="preserve"/>
      </w:r>
      <w:r w:rsidR="004E6FDA">
        <w:rPr>
          <w:rFonts w:hint="eastAsia"/>
          <w:lang w:val="en-GB" w:eastAsia="ko-KR"/>
          <w:highlight w:val="yellow"/>
        </w:rPr>
        <w:t xml:space="preserve"/>
      </w:r>
      <w:proofErr w:type="gramEnd"/>
      <w:r w:rsidR="000A6352">
        <w:rPr>
          <w:rFonts w:hint="eastAsia"/>
          <w:lang w:val="en-GB" w:eastAsia="ko-KR"/>
          <w:highlight w:val="yellow"/>
        </w:rPr>
        <w:t xml:space="preserve"> </w:t>
      </w:r>
      <w:r w:rsidRPr="00812AD8">
        <w:rPr>
          <w:lang w:val="en-GB"/>
          <w:highlight w:val="yellow"/>
        </w:rPr>
        <w:t>will be communicate</w:t>
      </w:r>
      <w:r w:rsidR="00BA6DCC" w:rsidRPr="00812AD8">
        <w:rPr>
          <w:lang w:val="en-GB"/>
          <w:highlight w:val="yellow"/>
        </w:rPr>
        <w:t>d</w:t>
      </w:r>
      <w:r w:rsidRPr="00812AD8">
        <w:rPr>
          <w:lang w:val="en-GB"/>
          <w:highlight w:val="yellow"/>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highlight w:val="yellow"/>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highlight w:val="yellow"/>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highlight w:val="yellow"/>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highlight w:val="yellow"/>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highlight w:val="yellow"/>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Late journal entries recorded after D+8 of the period-end.</w:t>
      </w:r>
    </w:p>
    <w:p w14:paraId="6CD2F327" w14:textId="2C862C58" w:rsidR="000B1C18" w:rsidRDefault="00D32AA0" w:rsidP="000B1C18">
      <w:pPr>
        <w:rPr>
          <w:lang w:val="en-US"/>
        </w:rPr>
      </w:pPr>
      <w:r>
        <w:rPr>
          <w:lang w:val="en-US"/>
          <w:highlight w:val="yellow"/>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highlight w:val="yellow"/>
        </w:rPr>
        <w:t xml:space="preserve">You are also required to gain an understanding of the financial reporting processes and related controls and the controls over journal entries and other adjustments.</w:t>
      </w:r>
    </w:p>
    <w:p w14:paraId="6CD2F327" w14:textId="2C862C58" w:rsidR="000B1C18" w:rsidRDefault="00D32AA0" w:rsidP="000B1C18">
      <w:pPr>
        <w:rPr>
          <w:lang w:val="en-US"/>
        </w:rPr>
      </w:pPr>
      <w:r>
        <w:rPr>
          <w:lang w:val="en-US"/>
          <w:highlight w:val="yellow"/>
        </w:rPr>
        <w:t xml:space="preserve">You are required to communicate to us any additional fraud risk factors identified related to journal entries and other adjustments, the planned response to the additional factors identified, and the results of the procedures performed.</w:t>
      </w:r>
    </w:p>
    <w:p w14:paraId="6CD2F327" w14:textId="2C862C58" w:rsidR="000B1C18" w:rsidRDefault="00D32AA0" w:rsidP="000B1C18">
      <w:pPr>
        <w:rPr>
          <w:lang w:val="en-US"/>
        </w:rPr>
      </w:pPr>
      <w:r>
        <w:rPr>
          <w:lang w:val="en-US"/>
          <w:highlight w:val="yellow"/>
        </w:rPr>
        <w:t xml:space="preserve">Journal entries - Data extraction process</w:t>
      </w:r>
    </w:p>
    <w:p w14:paraId="6CD2F327" w14:textId="2C862C58" w:rsidR="000B1C18" w:rsidRDefault="00D32AA0" w:rsidP="000B1C18">
      <w:pPr>
        <w:rPr>
          <w:lang w:val="en-US"/>
        </w:rPr>
      </w:pPr>
      <w:r>
        <w:rPr>
          <w:lang w:val="en-US"/>
          <w:highlight w:val="yellow"/>
        </w:rPr>
        <w:t xml:space="preserve">The manual journal entries extraction process is fully managed at central level for entities under FCS, at Forvia Group management request. The process covers both group reporting audit and statutory audits.</w:t>
      </w:r>
    </w:p>
    <w:p w14:paraId="6CD2F327" w14:textId="2C862C58" w:rsidR="000B1C18" w:rsidRDefault="00D32AA0" w:rsidP="000B1C18">
      <w:pPr>
        <w:rPr>
          <w:lang w:val="en-US"/>
        </w:rPr>
      </w:pPr>
      <w:r>
        <w:rPr>
          <w:lang w:val="en-US"/>
          <w:highlight w:val="yellow"/>
        </w:rPr>
        <w:t xml:space="preserve">The Forvia Group auditors will obtain the extractions from the Forvia IT team and will dispatch them to each component auditor, which will be responsible for their own JE testing. Please note that no extraction request is expected at local level. For PwC teams, the key contacts are Camille Pachot, Group audit engagement manager, and Maxime Maerten, Data analyst.</w:t>
      </w:r>
    </w:p>
    <w:p w14:paraId="6CD2F327" w14:textId="2C862C58" w:rsidR="000B1C18" w:rsidRDefault="00D32AA0" w:rsidP="000B1C18">
      <w:pPr>
        <w:rPr>
          <w:lang w:val="en-US"/>
        </w:rPr>
      </w:pPr>
      <w:r>
        <w:rPr>
          <w:lang w:val="en-US"/>
          <w:highlight w:val="yellow"/>
        </w:rPr>
        <w:t xml:space="preserve">Please inform us on a timely basis of any delay or issue in obtaining the journal entries extraction, and of any potential misstatements or source of potential misstatements identified through journal entries testing, whether they are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highlight w:val="yellow"/>
        </w:rPr>
        <w:t xml:space="preserve">The </w:t>
      </w:r>
      <w:r w:rsidR="00223DB3">
        <w:rPr>
          <w:lang w:val="en-US"/>
          <w:highlight w:val="yellow"/>
        </w:rPr>
        <w:t>Group Engagement Team</w:t>
      </w:r>
      <w:r w:rsidRPr="001636E3">
        <w:rPr>
          <w:lang w:val="nl-NL"/>
          <w:highlight w:val="yellow"/>
        </w:rPr>
        <w:t xml:space="preserve"> will review Management</w:t>
      </w:r>
      <w:r w:rsidR="00FF5A3C">
        <w:rPr>
          <w:lang w:val="nl-NL"/>
          <w:highlight w:val="yellow"/>
        </w:rPr>
        <w:t>’</w:t>
      </w:r>
      <w:r w:rsidRPr="001636E3">
        <w:rPr>
          <w:lang w:val="nl-NL"/>
          <w:highlight w:val="yellow"/>
        </w:rPr>
        <w:t>s</w:t>
      </w:r>
      <w:r w:rsidR="00FF5A3C">
        <w:rPr>
          <w:lang w:val="nl-NL"/>
          <w:highlight w:val="yellow"/>
        </w:rPr>
        <w:t xml:space="preserve"> Faurecia Korea Group</w:t>
      </w:r>
      <w:r w:rsidRPr="001636E3">
        <w:rPr>
          <w:lang w:val="nl-NL"/>
          <w:highlight w:val="yellow"/>
        </w:rPr>
        <w:t xml:space="preserve"> going concern assessment for the </w:t>
      </w:r>
      <w:r w:rsidRPr="006C1B93">
        <w:rPr>
          <w:lang w:val="nl-NL"/>
          <w:highlight w:val="yellow"/>
        </w:rPr>
        <w:t>year</w:t>
      </w:r>
      <w:r w:rsidRPr="001636E3">
        <w:rPr>
          <w:lang w:val="nl-NL"/>
          <w:highlight w:val="yellow"/>
        </w:rPr>
        <w:t xml:space="preserve"> ending at </w:t>
      </w:r>
      <w:r w:rsidR="00FF5A3C">
        <w:rPr>
          <w:lang w:val="nl-NL"/>
          <w:highlight w:val="yellow"/>
        </w:rPr>
        <w:t xml:space="preserve">December 31, 2026</w:t>
      </w:r>
      <w:r w:rsidR="00257513">
        <w:rPr>
          <w:lang w:val="nl-NL"/>
          <w:highlight w:val="yellow"/>
        </w:rPr>
        <w:t xml:space="preserve"/>
      </w:r>
      <w:r w:rsidR="00C26653">
        <w:rPr>
          <w:rFonts w:hint="eastAsia"/>
          <w:lang w:val="nl-NL" w:eastAsia="ko-KR"/>
          <w:highlight w:val="yellow"/>
        </w:rPr>
        <w:t xml:space="preserve"/>
      </w:r>
      <w:r w:rsidRPr="001636E3">
        <w:rPr>
          <w:lang w:val="nl-NL"/>
          <w:highlight w:val="yellow"/>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highlight w:val="yellow"/>
        </w:rPr>
        <w:t xml:space="preserve">Using technological resources as part of the Group audit</w:t>
      </w:r>
    </w:p>
    <w:p w14:paraId="6CD2F327" w14:textId="2C862C58" w:rsidR="000B1C18" w:rsidRDefault="00D32AA0" w:rsidP="000B1C18">
      <w:pPr>
        <w:rPr>
          <w:lang w:val="en-US"/>
        </w:rPr>
      </w:pPr>
      <w:r>
        <w:rPr>
          <w:lang w:val="en-US"/>
          <w:highlight w:val="yellow"/>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as technology solution in PwC Audit), including:</w:t>
      </w:r>
    </w:p>
    <w:p w14:paraId="3208BC95" w14:textId="096A4C6E" w:rsidR="0098042E" w:rsidRDefault="0098042E" w:rsidP="00876C8F">
      <w:pPr>
        <w:pStyle w:val="a6"/>
        <w:numPr>
          <w:ilvl w:val="0"/>
          <w:numId w:val="18"/>
        </w:numPr>
        <w:rPr>
          <w:lang w:val="en-US"/>
        </w:rPr>
      </w:pPr>
      <w:r>
        <w:rPr>
          <w:lang w:val="en-US"/>
          <w:highlight w:val="yellow"/>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highlight w:val="yellow"/>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highlight w:val="yellow"/>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highlight w:val="yellow"/>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highlight w:val="yellow"/>
        </w:rPr>
        <w:t xml:space="preserve">The planned involvement of specialists in using the technological resource, where applicable.</w:t>
      </w:r>
    </w:p>
    <w:p w14:paraId="6CD2F327" w14:textId="2C862C58" w:rsidR="000B1C18" w:rsidRDefault="00D32AA0" w:rsidP="000B1C18">
      <w:pPr>
        <w:rPr>
          <w:lang w:val="en-US"/>
        </w:rPr>
      </w:pPr>
      <w:r>
        <w:rPr>
          <w:lang w:val="en-US"/>
          <w:highlight w:val="cyan"/>
        </w:rPr>
        <w:t xml:space="preserve">[Forvia HY26 review instructions - to be re-confirmed against the Forvia FY2026 annual instructions]</w:t>
      </w:r>
    </w:p>
    <w:p w14:paraId="6CD2F327" w14:textId="2C862C58" w:rsidR="000B1C18" w:rsidRDefault="00D32AA0" w:rsidP="000B1C18">
      <w:pPr>
        <w:rPr>
          <w:lang w:val="en-US"/>
        </w:rPr>
      </w:pPr>
      <w:r>
        <w:rPr>
          <w:lang w:val="en-US"/>
          <w:highlight w:val="yellow"/>
        </w:rPr>
        <w:t xml:space="preserve">Use of Technology Audit Solutions</w:t>
      </w:r>
    </w:p>
    <w:p w14:paraId="6CD2F327" w14:textId="2C862C58" w:rsidR="000B1C18" w:rsidRDefault="00D32AA0" w:rsidP="000B1C18">
      <w:pPr>
        <w:rPr>
          <w:lang w:val="en-US"/>
        </w:rPr>
      </w:pPr>
      <w:r>
        <w:rPr>
          <w:lang w:val="en-US"/>
          <w:highlight w:val="yellow"/>
        </w:rPr>
        <w:t xml:space="preserve">Use of an Assurance Software Tool to perform an assurance engagement is only permitted if the tool has been approved by your Member Firm (see PwC Audit 1304.3.3 and PwC Audit Policy 2.7 in PwC Audit 1300.3). To locate the current list of approved Assurance Software Tools, refer to your Member Firm’s inventory of such tools. If you are unsure whether a technology audit solution is approved by your Member Firm, contact your National Technical function.</w:t>
      </w:r>
    </w:p>
    <w:p w14:paraId="6CD2F327" w14:textId="2C862C58" w:rsidR="000B1C18" w:rsidRDefault="00D32AA0" w:rsidP="000B1C18">
      <w:pPr>
        <w:rPr>
          <w:lang w:val="en-US"/>
        </w:rPr>
      </w:pPr>
      <w:r>
        <w:rPr>
          <w:lang w:val="en-US"/>
          <w:highlight w:val="yellow"/>
        </w:rPr>
        <w:t xml:space="preserve">In addition, in accordance with PwC Audit 6200.3, you are only to use an intermediary to facilitate direct electronic transmission of external confirmation requests and responses if the intermediary is approved by your Member Firm. Such services typically fall within the definition of an Assurance Software Tool.</w:t>
      </w:r>
    </w:p>
    <w:p w14:paraId="6CD2F327" w14:textId="2C862C58" w:rsidR="000B1C18" w:rsidRDefault="00D32AA0" w:rsidP="000B1C18">
      <w:pPr>
        <w:rPr>
          <w:lang w:val="en-US"/>
        </w:rPr>
      </w:pPr>
      <w:r>
        <w:rPr>
          <w:lang w:val="en-US"/>
          <w:highlight w:val="yellow"/>
        </w:rPr>
        <w:t xml:space="preserve">Use of Generative Artificial Intelligence (“GenAI”)</w:t>
      </w:r>
    </w:p>
    <w:p w14:paraId="6CD2F327" w14:textId="2C862C58" w:rsidR="000B1C18" w:rsidRDefault="00D32AA0" w:rsidP="000B1C18">
      <w:pPr>
        <w:rPr>
          <w:lang w:val="en-US"/>
        </w:rPr>
      </w:pPr>
      <w:r>
        <w:rPr>
          <w:lang w:val="en-US"/>
          <w:highlight w:val="yellow"/>
        </w:rPr>
        <w:t xml:space="preserve">GenAI technologies (including technologies such as ChatPwC and Microsoft 365 Copilot) are permitted for use to assist the preparer in performing tasks related to audit procedures (i.e. as a GenAI technology audit accelerator) when all of the conditions of the Global Business Rules (see PwC Audit 1304.3.4), and any incremental rules issued by your territory, are met.</w:t>
      </w: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highlight w:val="yellow"/>
        </w:rPr>
        <w:t xml:space="preserve">We ask </w:t>
      </w:r>
      <w:r>
        <w:rPr>
          <w:lang w:val="en-GB"/>
          <w:highlight w:val="yellow"/>
        </w:rPr>
        <w:t xml:space="preserve">that </w:t>
      </w:r>
      <w:r w:rsidRPr="00C57BE9">
        <w:rPr>
          <w:lang w:val="en-GB"/>
          <w:highlight w:val="yellow"/>
        </w:rPr>
        <w:t xml:space="preserve">you perform the following work </w:t>
      </w:r>
      <w:r>
        <w:rPr>
          <w:lang w:val="en-GB"/>
          <w:highlight w:val="yellow"/>
        </w:rPr>
        <w:t>to</w:t>
      </w:r>
      <w:r w:rsidRPr="00C57BE9">
        <w:rPr>
          <w:lang w:val="en-GB"/>
          <w:highlight w:val="yellow"/>
        </w:rPr>
        <w:t xml:space="preserve"> confirm </w:t>
      </w:r>
      <w:r>
        <w:rPr>
          <w:lang w:val="en-GB"/>
          <w:highlight w:val="yellow"/>
        </w:rPr>
        <w:t>that</w:t>
      </w:r>
      <w:r w:rsidRPr="00C57BE9">
        <w:rPr>
          <w:lang w:val="en-GB"/>
          <w:highlight w:val="yellow"/>
        </w:rPr>
        <w:t xml:space="preserve"> there </w:t>
      </w:r>
      <w:r>
        <w:rPr>
          <w:lang w:val="en-GB"/>
          <w:highlight w:val="yellow"/>
        </w:rPr>
        <w:t>has been</w:t>
      </w:r>
      <w:r w:rsidRPr="00C57BE9">
        <w:rPr>
          <w:lang w:val="en-GB"/>
          <w:highlight w:val="yellow"/>
        </w:rPr>
        <w:t xml:space="preserve"> no significant subsequent event covering the period from the date of your </w:t>
      </w:r>
      <w:r>
        <w:rPr>
          <w:lang w:val="en-GB"/>
          <w:highlight w:val="yellow"/>
        </w:rPr>
        <w:t>a</w:t>
      </w:r>
      <w:r w:rsidRPr="00C57BE9">
        <w:rPr>
          <w:lang w:val="en-GB"/>
          <w:highlight w:val="yellow"/>
        </w:rPr>
        <w:t xml:space="preserve">udit report to </w:t>
      </w:r>
      <w:r w:rsidR="00352B33">
        <w:rPr>
          <w:lang w:val="en-GB"/>
          <w:highlight w:val="yellow"/>
        </w:rPr>
        <w:t xml:space="preserve">subsequent event dates (expected to be </w:t>
      </w:r>
      <w:r w:rsidR="00F7488E">
        <w:rPr>
          <w:lang w:val="en-GB"/>
          <w:highlight w:val="yellow"/>
        </w:rPr>
        <w:t xml:space="preserve">the end of March, 2027</w:t>
      </w:r>
      <w:proofErr w:type="gramStart"/>
      <w:r w:rsidR="00F7488E">
        <w:rPr>
          <w:lang w:val="en-GB"/>
          <w:highlight w:val="yellow"/>
        </w:rPr>
        <w:t xml:space="preserve"/>
      </w:r>
      <w:proofErr w:type="gramEnd"/>
      <w:r w:rsidR="00F7488E">
        <w:rPr>
          <w:lang w:val="en-GB"/>
          <w:highlight w:val="yellow"/>
        </w:rPr>
        <w:t xml:space="preserve"/>
      </w:r>
      <w:r w:rsidR="00670593">
        <w:rPr>
          <w:rFonts w:hint="eastAsia"/>
          <w:lang w:val="en-GB" w:eastAsia="ko-KR"/>
          <w:highlight w:val="yellow"/>
        </w:rPr>
        <w:t xml:space="preserve"/>
      </w:r>
      <w:r w:rsidR="00F7488E">
        <w:rPr>
          <w:lang w:val="en-GB"/>
          <w:highlight w:val="yellow"/>
        </w:rPr>
        <w:t>)</w:t>
      </w:r>
      <w:r w:rsidR="00125A43">
        <w:rPr>
          <w:lang w:val="en-GB"/>
          <w:highlight w:val="yellow"/>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w:t>
      </w:r>
      <w:r w:rsidRPr="0027757B">
        <w:rPr>
          <w:szCs w:val="24"/>
          <w:lang w:val="en-GB"/>
          <w:highlight w:val="yellow"/>
        </w:rPr>
        <w:t xml:space="preserve">using the component performance materiality and the threshold for clearly trivial misstatements communicated in section D.3 below</w:t>
      </w:r>
      <w:r>
        <w:rPr>
          <w:szCs w:val="24"/>
          <w:lang w:val="en-GB"/>
        </w:rPr>
        <w:t xml:space="preserve"/>
      </w:r>
      <w:r w:rsidRPr="0027757B">
        <w:rPr>
          <w:szCs w:val="24"/>
          <w:lang w:val="en-GB"/>
        </w:rPr>
        <w:t xml:space="preserve"/>
      </w:r>
      <w:r>
        <w:rPr>
          <w:szCs w:val="24"/>
          <w:lang w:val="en-GB"/>
        </w:rPr>
        <w:t xml:space="preserve"/>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w:t>
      </w:r>
      <w:r w:rsidRPr="0027757B">
        <w:rPr>
          <w:szCs w:val="24"/>
          <w:lang w:val="en-US"/>
          <w:highlight w:val="yellow"/>
        </w:rPr>
        <w:t xml:space="preserve">using the component performance materiality and the threshold for clearly trivial misstatements assigned to you</w:t>
      </w:r>
      <w:r w:rsidRPr="0027757B">
        <w:rPr>
          <w:szCs w:val="24"/>
          <w:lang w:val="en-US"/>
        </w:rPr>
        <w:t xml:space="preserve">.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using the component materiality assigned to you,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0154F83A" w14:textId="77777777" w:rsidR="00242C13" w:rsidRPr="00C57BE9" w:rsidRDefault="00242C13" w:rsidP="00242C13">
      <w:pPr>
        <w:ind w:left="708" w:firstLine="12"/>
        <w:rPr>
          <w:lang w:val="en-GB"/>
        </w:rPr>
      </w:pPr>
      <w:r w:rsidRPr="0039662C">
        <w:rPr>
          <w:lang w:val="en-GB"/>
          <w:highlight w:val="yellow"/>
        </w:rPr>
        <w:t xml:space="preserve">Under ISA 600 (Revised) we determine and communicate to you a component performance materiality and a threshold for clearly trivial misstatements, and not a separate component materiality. The amounts relevant to your audit, including audits of account balances and/or disclosures, or review performed as part of the audit of the Group financial statements, are included in section D.3 below. If you have any concerns over the amounts applicable to your audit or review performed as part of the audit of the Group financial statements, please contact us as soon as possible.</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When we have requested you to perform an audit of the financial information of a component or an audit of one or more account balance(s) or disclosure(s) in the financial information of a component for purposes of the audit of the </w:t>
      </w:r>
      <w:r w:rsidR="00B3753E">
        <w:rPr>
          <w:lang w:val="en-GB"/>
        </w:rPr>
        <w:t>Group</w:t>
      </w:r>
      <w:r w:rsidRPr="00213193">
        <w:rPr>
          <w:lang w:val="en-GB"/>
        </w:rPr>
        <w:t xml:space="preserve"> financial statements, you are to provide us with your performance materiality using </w:t>
      </w:r>
      <w:r w:rsidRPr="00213193">
        <w:rPr>
          <w:b/>
          <w:bCs/>
          <w:lang w:val="en-GB"/>
        </w:rPr>
        <w:t>Appendix A - “Component Auditor’s Confirmations (acknowledgement of instructions and independence)”</w:t>
      </w:r>
      <w:r w:rsidRPr="00213193">
        <w:rPr>
          <w:lang w:val="en-GB"/>
        </w:rPr>
        <w:t>. In any</w:t>
      </w:r>
      <w:r w:rsidRPr="00C57BE9">
        <w:rPr>
          <w:lang w:val="en-GB"/>
        </w:rPr>
        <w:t xml:space="preserve">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clearly trivial to the </w:t>
      </w:r>
      <w:r w:rsidR="00B3753E">
        <w:rPr>
          <w:lang w:val="en-GB"/>
        </w:rPr>
        <w:t>Group</w:t>
      </w:r>
      <w:r w:rsidRPr="00C57BE9">
        <w:rPr>
          <w:lang w:val="en-GB"/>
        </w:rPr>
        <w:t xml:space="preserve"> financial statements.</w:t>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highlight w:val="yellow"/>
              </w:rPr>
              <w:t xml:space="preserve">PwC India</w:t>
            </w:r>
            <w:r w:rsidRPr="00581311">
              <w:rPr>
                <w:rFonts w:cs="Arial"/>
                <w:color w:val="000000"/>
                <w:szCs w:val="20"/>
                <w:lang w:val="es-ES" w:eastAsia="ko-KR"/>
                <w:highlight w:val="yellow"/>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2,838,000,000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269,000,000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highlight w:val="yellow"/>
        </w:rPr>
        <w:t xml:space="preserve">The </w:t>
      </w:r>
      <w:r w:rsidRPr="007C36A6">
        <w:rPr>
          <w:b/>
          <w:lang w:val="en-GB"/>
          <w:highlight w:val="yellow"/>
        </w:rPr>
        <w:t>threshold for clearly trivial misstatements</w:t>
      </w:r>
      <w:r w:rsidRPr="007C36A6">
        <w:rPr>
          <w:lang w:val="en-US"/>
          <w:highlight w:val="yellow"/>
        </w:rPr>
        <w:t xml:space="preserve"> established for the entities in scope is</w:t>
      </w:r>
      <w:r w:rsidR="009C7482" w:rsidRPr="007C36A6">
        <w:rPr>
          <w:lang w:val="en-US"/>
          <w:highlight w:val="yellow"/>
        </w:rPr>
        <w:t xml:space="preserve"> KRW </w:t>
      </w:r>
      <w:r w:rsidR="007C36A6" w:rsidRPr="007C36A6">
        <w:rPr>
          <w:rFonts w:eastAsia="맑은 고딕" w:cs="Arial" w:hint="eastAsia"/>
          <w:color w:val="000000"/>
          <w:szCs w:val="20"/>
          <w:lang w:val="en-US" w:eastAsia="ko-KR"/>
          <w:highlight w:val="yellow"/>
        </w:rPr>
        <w:t xml:space="preserve">269,000,000</w:t>
      </w:r>
      <w:r w:rsidR="00CC7953" w:rsidRPr="007C36A6">
        <w:rPr>
          <w:rFonts w:eastAsia="맑은 고딕" w:cs="Arial"/>
          <w:color w:val="000000"/>
          <w:szCs w:val="20"/>
          <w:lang w:val="en-US" w:eastAsia="ko-KR"/>
          <w:highlight w:val="yellow"/>
        </w:rPr>
        <w:t xml:space="preserve"/>
      </w:r>
      <w:r w:rsidR="003530D1" w:rsidRPr="007C36A6">
        <w:rPr>
          <w:rFonts w:eastAsia="맑은 고딕" w:cs="Arial" w:hint="eastAsia"/>
          <w:color w:val="000000"/>
          <w:szCs w:val="20"/>
          <w:lang w:val="en-US" w:eastAsia="ko-KR"/>
          <w:highlight w:val="yellow"/>
        </w:rPr>
        <w:t>.</w:t>
      </w:r>
      <w:r w:rsidR="003530D1">
        <w:rPr>
          <w:rFonts w:eastAsia="맑은 고딕" w:cs="Arial" w:hint="eastAsia"/>
          <w:color w:val="000000"/>
          <w:szCs w:val="20"/>
          <w:lang w:val="en-US" w:eastAsia="ko-KR"/>
          <w:highlight w:val="yellow"/>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w:t>
      </w:r>
      <w:r w:rsidRPr="00242C13">
        <w:rPr>
          <w:lang w:val="en-US"/>
          <w:highlight w:val="yellow"/>
        </w:rPr>
        <w:t xml:space="preserve">in the section “Other issues” of Appendix D1 – “Summary Memorandum”.</w:t>
      </w:r>
      <w:r>
        <w:rPr>
          <w:lang w:val="en-US"/>
        </w:rPr>
        <w:t xml:space="preserve"/>
      </w:r>
      <w:r w:rsidRPr="00242C13">
        <w:rPr>
          <w:i/>
          <w:lang w:val="en-US"/>
        </w:rPr>
        <w:t xml:space="preserve"/>
      </w:r>
      <w:r>
        <w:rPr>
          <w:i/>
          <w:lang w:val="en-US"/>
        </w:rPr>
        <w:t xml:space="preserve"/>
      </w:r>
      <w:r w:rsidRPr="00242C13">
        <w:rPr>
          <w:i/>
          <w:lang w:val="en-US"/>
        </w:rPr>
        <w:t xml:space="preserve"/>
      </w:r>
      <w:r w:rsidRPr="00242C13">
        <w:rPr>
          <w:lang w:val="en-US"/>
        </w:rPr>
        <w:t xml:space="preserve"/>
      </w:r>
      <w:r w:rsidRPr="00242C13">
        <w:rPr>
          <w:b/>
          <w:lang w:val="en-US"/>
        </w:rPr>
        <w:t xml:space="preserve"/>
      </w:r>
      <w:r w:rsidRPr="00242C13">
        <w:rPr>
          <w:lang w:val="en-US"/>
        </w:rPr>
        <w:t xml:space="preserve"/>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highlight w:val="yellow"/>
              </w:rPr>
              <w:t xml:space="preserve">January 15 2027</w:t>
            </w:r>
            <w:r w:rsidR="007772EB">
              <w:rPr>
                <w:lang w:val="en-US"/>
                <w:highlight w:val="yellow"/>
              </w:rPr>
              <w:t xml:space="preserve"/>
            </w:r>
            <w:r w:rsidR="005C048E">
              <w:rPr>
                <w:rFonts w:hint="eastAsia"/>
                <w:lang w:val="en-US" w:eastAsia="ko-KR"/>
                <w:highlight w:val="yellow"/>
              </w:rPr>
              <w:t xml:space="preserve"/>
            </w:r>
            <w:r w:rsidRPr="008664B1">
              <w:rPr>
                <w:lang w:val="en-US"/>
                <w:highlight w:val="yellow"/>
              </w:rPr>
              <w:t xml:space="preserve"/>
            </w:r>
            <w:r w:rsidR="00C91762">
              <w:rPr>
                <w:rFonts w:hint="eastAsia"/>
                <w:lang w:val="en-US" w:eastAsia="ko-KR"/>
                <w:highlight w:val="yellow"/>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highlight w:val="yellow"/>
              </w:rPr>
              <w:t xml:space="preserve">January 15 2027</w:t>
            </w:r>
            <w:r>
              <w:rPr>
                <w:lang w:val="en-US"/>
                <w:highlight w:val="yellow"/>
              </w:rPr>
              <w:t xml:space="preserve"/>
            </w:r>
            <w:r>
              <w:rPr>
                <w:rFonts w:hint="eastAsia"/>
                <w:lang w:val="en-US" w:eastAsia="ko-KR"/>
                <w:highlight w:val="yellow"/>
              </w:rPr>
              <w:t xml:space="preserve"/>
            </w:r>
            <w:r w:rsidRPr="008664B1">
              <w:rPr>
                <w:lang w:val="en-US"/>
                <w:highlight w:val="yellow"/>
              </w:rPr>
              <w:t xml:space="preserve"/>
            </w:r>
            <w:r>
              <w:rPr>
                <w:rFonts w:hint="eastAsia"/>
                <w:lang w:val="en-US" w:eastAsia="ko-KR"/>
                <w:highlight w:val="yellow"/>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321C0713"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68BB6E0" w14:textId="5EF340D8" w:rsidR="007772EB" w:rsidRDefault="007772EB" w:rsidP="007772EB">
            <w:pPr>
              <w:spacing w:after="0"/>
              <w:jc w:val="center"/>
              <w:rPr>
                <w:lang w:val="en-US"/>
              </w:rPr>
            </w:pPr>
            <w:r>
              <w:rPr>
                <w:lang w:val="en-US"/>
              </w:rPr>
              <w:t>D3</w:t>
            </w:r>
          </w:p>
        </w:tc>
        <w:tc>
          <w:tcPr>
            <w:tcW w:w="6804" w:type="dxa"/>
            <w:tcBorders>
              <w:top w:val="single" w:sz="4" w:space="0" w:color="003366"/>
              <w:left w:val="single" w:sz="4" w:space="0" w:color="003366"/>
              <w:bottom w:val="single" w:sz="4" w:space="0" w:color="003366"/>
              <w:right w:val="single" w:sz="4" w:space="0" w:color="003366"/>
            </w:tcBorders>
          </w:tcPr>
          <w:p w14:paraId="58F368FE" w14:textId="46B4699E" w:rsidR="007772EB" w:rsidRDefault="007772EB" w:rsidP="007772EB">
            <w:pPr>
              <w:spacing w:after="0"/>
              <w:rPr>
                <w:lang w:val="en-US"/>
              </w:rPr>
            </w:pPr>
            <w:r>
              <w:rPr>
                <w:lang w:val="en-US"/>
              </w:rPr>
              <w:t xml:space="preserve">Audit report on account balances </w:t>
            </w:r>
          </w:p>
        </w:tc>
        <w:tc>
          <w:tcPr>
            <w:tcW w:w="1699" w:type="dxa"/>
            <w:tcBorders>
              <w:top w:val="single" w:sz="4" w:space="0" w:color="003366"/>
              <w:left w:val="single" w:sz="4" w:space="0" w:color="003366"/>
              <w:bottom w:val="single" w:sz="4" w:space="0" w:color="003366"/>
              <w:right w:val="single" w:sz="4" w:space="0" w:color="003366"/>
            </w:tcBorders>
          </w:tcPr>
          <w:p w14:paraId="0D0FCC44" w14:textId="61F55C2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462DE3C0"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671F708" w14:textId="77777777" w:rsidR="007772EB" w:rsidRDefault="007772EB" w:rsidP="007772EB">
            <w:pPr>
              <w:spacing w:after="0"/>
              <w:jc w:val="center"/>
              <w:rPr>
                <w:lang w:val="en-US"/>
              </w:rPr>
            </w:pPr>
            <w:r>
              <w:rPr>
                <w:lang w:val="en-US"/>
              </w:rPr>
              <w:t>D5a</w:t>
            </w:r>
          </w:p>
        </w:tc>
        <w:tc>
          <w:tcPr>
            <w:tcW w:w="6804" w:type="dxa"/>
            <w:tcBorders>
              <w:top w:val="single" w:sz="4" w:space="0" w:color="003366"/>
              <w:left w:val="single" w:sz="4" w:space="0" w:color="003366"/>
              <w:bottom w:val="single" w:sz="4" w:space="0" w:color="003366"/>
              <w:right w:val="single" w:sz="4" w:space="0" w:color="003366"/>
            </w:tcBorders>
          </w:tcPr>
          <w:p w14:paraId="5D1EB131" w14:textId="77777777" w:rsidR="007772EB" w:rsidRDefault="007772EB" w:rsidP="007772EB">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(non-significant components only)</w:t>
            </w:r>
          </w:p>
        </w:tc>
        <w:tc>
          <w:tcPr>
            <w:tcW w:w="1699" w:type="dxa"/>
            <w:tcBorders>
              <w:top w:val="single" w:sz="4" w:space="0" w:color="003366"/>
              <w:left w:val="single" w:sz="4" w:space="0" w:color="003366"/>
              <w:bottom w:val="single" w:sz="4" w:space="0" w:color="003366"/>
              <w:right w:val="single" w:sz="4" w:space="0" w:color="003366"/>
            </w:tcBorders>
          </w:tcPr>
          <w:p w14:paraId="7D8082FB" w14:textId="02E57C3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
      </w:r>
      <w:r w:rsidR="00812AD8">
        <w:rPr>
          <w:lang w:val="en-GB"/>
          <w:highlight w:val="yellow"/>
        </w:rPr>
        <w:t xml:space="preserve">Forvis Mazars Sebit (Korea)</w:t>
      </w:r>
      <w:r w:rsidR="00812AD8">
        <w:rPr>
          <w:lang w:val="en-GB"/>
        </w:rPr>
        <w:t xml:space="preserve">,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023980" w:rsidRPr="00896CDA" w14:paraId="5B0BB322" w14:textId="370A69F1" w:rsidTr="00D7379F">
        <w:tc>
          <w:tcPr>
            <w:tcW w:w="1419" w:type="dxa"/>
            <w:tcBorders>
              <w:top w:val="single" w:sz="4" w:space="0" w:color="003366"/>
              <w:left w:val="single" w:sz="4" w:space="0" w:color="003366"/>
              <w:bottom w:val="single" w:sz="4" w:space="0" w:color="003366"/>
              <w:right w:val="single" w:sz="4" w:space="0" w:color="003366"/>
            </w:tcBorders>
          </w:tcPr>
          <w:p w14:paraId="0855FBDA" w14:textId="77777777" w:rsidR="00023980" w:rsidRDefault="00023980" w:rsidP="00023980">
            <w:pPr>
              <w:spacing w:after="0"/>
              <w:jc w:val="center"/>
              <w:rPr>
                <w:lang w:val="en-US"/>
              </w:rPr>
            </w:pPr>
            <w:r>
              <w:rPr>
                <w:lang w:val="en-US"/>
              </w:rPr>
              <w:t>D3</w:t>
            </w:r>
          </w:p>
        </w:tc>
        <w:tc>
          <w:tcPr>
            <w:tcW w:w="4437" w:type="dxa"/>
            <w:tcBorders>
              <w:top w:val="single" w:sz="4" w:space="0" w:color="003366"/>
              <w:left w:val="single" w:sz="4" w:space="0" w:color="003366"/>
              <w:bottom w:val="single" w:sz="4" w:space="0" w:color="003366"/>
              <w:right w:val="single" w:sz="4" w:space="0" w:color="003366"/>
            </w:tcBorders>
          </w:tcPr>
          <w:p w14:paraId="65AB8534" w14:textId="77777777" w:rsidR="00023980" w:rsidRDefault="00023980" w:rsidP="00023980">
            <w:pPr>
              <w:spacing w:after="0"/>
              <w:rPr>
                <w:lang w:val="en-US"/>
              </w:rPr>
            </w:pPr>
            <w:r>
              <w:rPr>
                <w:lang w:val="en-US"/>
              </w:rPr>
              <w:t>Audit report on account balances and/or disclosure</w:t>
            </w:r>
          </w:p>
        </w:tc>
        <w:tc>
          <w:tcPr>
            <w:tcW w:w="2180" w:type="dxa"/>
            <w:tcBorders>
              <w:top w:val="single" w:sz="4" w:space="0" w:color="003366"/>
              <w:left w:val="single" w:sz="4" w:space="0" w:color="003366"/>
              <w:bottom w:val="single" w:sz="4" w:space="0" w:color="003366"/>
              <w:right w:val="single" w:sz="4" w:space="0" w:color="003366"/>
            </w:tcBorders>
          </w:tcPr>
          <w:p w14:paraId="43E92EDA" w14:textId="77777777" w:rsidR="00023980" w:rsidRPr="00304960" w:rsidRDefault="00023980" w:rsidP="00023980">
            <w:pPr>
              <w:spacing w:after="0"/>
              <w:jc w:val="center"/>
              <w:rPr>
                <w:b/>
                <w:lang w:val="en-US"/>
              </w:rPr>
            </w:pPr>
            <w:r>
              <w:rPr>
                <w:b/>
                <w:lang w:val="en-US"/>
              </w:rPr>
              <w:t xml:space="preserve">See appendix </w:t>
            </w:r>
          </w:p>
          <w:p w14:paraId="07B2379A" w14:textId="77777777" w:rsidR="00023980" w:rsidRDefault="00023980" w:rsidP="00023980">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58F1F64" w14:textId="3BAC64ED" w:rsidR="00023980" w:rsidRDefault="00023980" w:rsidP="00023980">
            <w:pPr>
              <w:spacing w:after="0"/>
              <w:jc w:val="center"/>
              <w:rPr>
                <w:b/>
                <w:lang w:val="en-US" w:eastAsia="ko-KR"/>
              </w:rPr>
            </w:pPr>
            <w:r>
              <w:rPr>
                <w:b/>
                <w:lang w:val="en-US" w:eastAsia="ko-KR"/>
              </w:rPr>
              <w:t>N/A</w:t>
            </w:r>
          </w:p>
        </w:tc>
      </w:tr>
      <w:tr w:rsidR="00D7379F" w:rsidRPr="00FB2E77" w14:paraId="3A91E15A" w14:textId="7A7F71BC" w:rsidTr="00D7379F">
        <w:tc>
          <w:tcPr>
            <w:tcW w:w="1419" w:type="dxa"/>
            <w:tcBorders>
              <w:top w:val="single" w:sz="4" w:space="0" w:color="003366"/>
              <w:left w:val="single" w:sz="4" w:space="0" w:color="003366"/>
              <w:bottom w:val="single" w:sz="4" w:space="0" w:color="003366"/>
              <w:right w:val="single" w:sz="4" w:space="0" w:color="003366"/>
            </w:tcBorders>
          </w:tcPr>
          <w:p w14:paraId="10474CCF" w14:textId="77777777" w:rsidR="00D7379F" w:rsidRDefault="00D7379F" w:rsidP="004A063F">
            <w:pPr>
              <w:spacing w:after="0"/>
              <w:jc w:val="center"/>
              <w:rPr>
                <w:lang w:val="en-US"/>
              </w:rPr>
            </w:pPr>
            <w:r>
              <w:rPr>
                <w:lang w:val="en-US"/>
              </w:rPr>
              <w:t>D5a</w:t>
            </w:r>
          </w:p>
        </w:tc>
        <w:tc>
          <w:tcPr>
            <w:tcW w:w="4437" w:type="dxa"/>
            <w:tcBorders>
              <w:top w:val="single" w:sz="4" w:space="0" w:color="003366"/>
              <w:left w:val="single" w:sz="4" w:space="0" w:color="003366"/>
              <w:bottom w:val="single" w:sz="4" w:space="0" w:color="003366"/>
              <w:right w:val="single" w:sz="4" w:space="0" w:color="003366"/>
            </w:tcBorders>
          </w:tcPr>
          <w:p w14:paraId="1A5A4A0A" w14:textId="7FE5DCF3" w:rsidR="00D7379F" w:rsidRDefault="00D7379F" w:rsidP="004A063F">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w:t>
            </w:r>
          </w:p>
        </w:tc>
        <w:tc>
          <w:tcPr>
            <w:tcW w:w="2180" w:type="dxa"/>
            <w:tcBorders>
              <w:top w:val="single" w:sz="4" w:space="0" w:color="003366"/>
              <w:left w:val="single" w:sz="4" w:space="0" w:color="003366"/>
              <w:bottom w:val="single" w:sz="4" w:space="0" w:color="003366"/>
              <w:right w:val="single" w:sz="4" w:space="0" w:color="003366"/>
            </w:tcBorders>
          </w:tcPr>
          <w:p w14:paraId="069D22BD" w14:textId="77777777" w:rsidR="00D7379F" w:rsidRPr="00304960" w:rsidRDefault="00D7379F" w:rsidP="00FF7C35">
            <w:pPr>
              <w:spacing w:after="0"/>
              <w:jc w:val="center"/>
              <w:rPr>
                <w:b/>
                <w:lang w:val="en-US"/>
              </w:rPr>
            </w:pPr>
            <w:r>
              <w:rPr>
                <w:b/>
                <w:lang w:val="en-US"/>
              </w:rPr>
              <w:t xml:space="preserve">See appendix </w:t>
            </w:r>
          </w:p>
          <w:p w14:paraId="37D3272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063B3EF9" w14:textId="657B7134" w:rsidR="00D7379F" w:rsidRDefault="006750A1" w:rsidP="00FF7C35">
            <w:pPr>
              <w:spacing w:after="0"/>
              <w:jc w:val="center"/>
              <w:rPr>
                <w:b/>
                <w:lang w:val="en-US" w:eastAsia="ko-KR"/>
              </w:rPr>
            </w:pPr>
            <w:r>
              <w:rPr>
                <w:b/>
                <w:lang w:val="en-US" w:eastAsia="ko-KR"/>
              </w:rPr>
              <w:t>N/A</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headerReference w:type="first" r:id="rId26"/>
      <w:footerReference w:type="first" r:id="rId27"/>
      <w:headerReference w:type="even" r:id="rId28"/>
      <w:footerReference w:type="even" r:id="rId29"/>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header" Target="header3.xml"/><Relationship Id="rId2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