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16" w:start="426" w:end="0"/>
        <w:rPr>
          <w:b/>
          <w:smallCaps/>
          <w:sz w:val="24"/>
          <w:szCs w:val="24"/>
          <w:lang w:val="en-US"/>
        </w:rPr>
      </w:pPr>
      <w:r>
        <w:rPr>
          <w:b/>
          <w:smallCaps/>
          <w:sz w:val="24"/>
          <w:szCs w:val="24"/>
          <w:lang w:val="en-US"/>
        </w:rPr>
        <w:t>Example</w:t>
      </w:r>
      <w:r>
        <w:rPr>
          <w:b/>
          <w:smallCaps/>
          <w:sz w:val="24"/>
          <w:szCs w:val="24"/>
          <w:lang w:val="en-US"/>
        </w:rPr>
        <w:t xml:space="preserve"> of a management representation letter for a component financial information </w:t>
      </w:r>
    </w:p>
    <w:p>
      <w:pPr>
        <w:pStyle w:val="Normal"/>
        <w:spacing w:lineRule="exact" w:line="320"/>
        <w:ind w:firstLine="16" w:start="426" w:end="0"/>
        <w:rPr>
          <w:b/>
          <w:smallCaps/>
          <w:sz w:val="24"/>
          <w:szCs w:val="24"/>
          <w:lang w:val="en-US"/>
        </w:rPr>
      </w:pPr>
      <w:r>
        <w:rPr>
          <w:b/>
          <w:smallCaps/>
          <w:sz w:val="24"/>
          <w:szCs w:val="24"/>
          <w:lang w:val="en-US"/>
        </w:rPr>
        <w:t>TO BE ADAPTED</w:t>
      </w:r>
    </w:p>
    <w:p>
      <w:pPr>
        <w:pStyle w:val="Normal"/>
        <w:spacing w:lineRule="exact" w:line="320"/>
        <w:ind w:firstLine="16" w:start="426" w:end="0"/>
        <w:rPr>
          <w:b/>
          <w:smallCaps/>
          <w:sz w:val="24"/>
          <w:szCs w:val="24"/>
          <w:lang w:val="en-US"/>
        </w:rPr>
      </w:pPr>
      <w:r>
        <w:rPr>
          <w:b/>
          <w:smallCaps/>
          <w:sz w:val="24"/>
          <w:szCs w:val="24"/>
          <w:lang w:val="en-US"/>
        </w:rPr>
      </w:r>
    </w:p>
    <w:p>
      <w:pPr>
        <w:pStyle w:val="Normal"/>
        <w:spacing w:lineRule="exact" w:line="320"/>
        <w:ind w:firstLine="16" w:start="426" w:end="0"/>
        <w:rPr>
          <w:rFonts w:eastAsia="Times New Roman"/>
          <w:b/>
          <w:smallCaps/>
          <w:sz w:val="24"/>
          <w:szCs w:val="24"/>
          <w:lang w:val="en-US"/>
        </w:rPr>
      </w:pPr>
      <w:r>
        <w:rPr>
          <w:rFonts w:eastAsia="Times New Roman"/>
          <w:b/>
          <w:smallCaps/>
          <w:sz w:val="24"/>
          <w:szCs w:val="24"/>
          <w:lang w:val="en-US"/>
        </w:rPr>
        <w:t xml:space="preserve"> </w:t>
      </w:r>
    </w:p>
    <w:p>
      <w:pPr>
        <w:pStyle w:val="Normal"/>
        <w:spacing w:lineRule="exact" w:line="320"/>
        <w:ind w:firstLine="16" w:start="426" w:end="0"/>
        <w:rPr>
          <w:b/>
          <w:smallCaps/>
          <w:sz w:val="24"/>
          <w:szCs w:val="24"/>
          <w:lang w:val="en-US"/>
        </w:rPr>
      </w:pPr>
      <w:r>
        <w:rPr>
          <w:b/>
          <w:smallCaps/>
          <w:sz w:val="24"/>
          <w:szCs w:val="24"/>
          <w:lang w:val="en-US"/>
        </w:rPr>
      </w:r>
    </w:p>
    <w:p>
      <w:pPr>
        <w:pStyle w:val="Normal"/>
        <w:spacing w:lineRule="exact" w:line="320"/>
        <w:ind w:hanging="357" w:start="799" w:end="0"/>
        <w:jc w:val="center"/>
        <w:rPr/>
      </w:pPr>
      <w:r>
        <w:rPr>
          <w:rFonts w:eastAsia="Times New Roman"/>
          <w:smallCaps/>
          <w:sz w:val="24"/>
          <w:szCs w:val="24"/>
          <w:lang w:val="en-US"/>
        </w:rPr>
        <w:t xml:space="preserve"> </w:t>
      </w:r>
      <w:r>
        <w:rPr>
          <w:b/>
          <w:sz w:val="24"/>
          <w:szCs w:val="24"/>
          <w:lang w:val="en-US"/>
        </w:rPr>
        <w:t>(to be printed on the audited entity’s letterhead)</w:t>
      </w:r>
    </w:p>
    <w:p>
      <w:pPr>
        <w:pStyle w:val="Normal"/>
        <w:spacing w:lineRule="exact" w:line="320"/>
        <w:ind w:hanging="357" w:start="799" w:end="0"/>
        <w:jc w:val="both"/>
        <w:rPr>
          <w:b/>
          <w:sz w:val="24"/>
          <w:szCs w:val="24"/>
          <w:lang w:val="en-US"/>
        </w:rPr>
      </w:pPr>
      <w:r>
        <w:rPr>
          <w:b/>
          <w:sz w:val="24"/>
          <w:szCs w:val="24"/>
          <w:lang w:val="en-US"/>
        </w:rPr>
      </w:r>
    </w:p>
    <w:p>
      <w:pPr>
        <w:pStyle w:val="Normal"/>
        <w:pBdr>
          <w:top w:val="single" w:sz="4" w:space="1" w:color="000000"/>
          <w:left w:val="single" w:sz="4" w:space="4" w:color="000000"/>
          <w:bottom w:val="single" w:sz="4" w:space="1" w:color="000000"/>
          <w:right w:val="single" w:sz="4" w:space="4" w:color="000000"/>
        </w:pBdr>
        <w:spacing w:lineRule="exact" w:line="320"/>
        <w:ind w:start="426" w:end="0"/>
        <w:jc w:val="both"/>
        <w:rPr/>
      </w:pPr>
      <w:r>
        <w:rPr>
          <w:i/>
          <w:sz w:val="24"/>
          <w:szCs w:val="24"/>
          <w:lang w:val="en-US"/>
        </w:rPr>
        <w:t>This letter will be accompanied, where applicable, by the written representations that the component Auditor, in the specific context of the entity, deems necessary in order to express a conclusion on the assertions he/she wishes to verify. Without claiming to cover all of the situations encountered in practice, examples of the formulation of additional specific points are provided for information only at the end of this document.</w:t>
      </w:r>
    </w:p>
    <w:p>
      <w:pPr>
        <w:pStyle w:val="Normal"/>
        <w:pBdr>
          <w:top w:val="single" w:sz="4" w:space="1" w:color="000000"/>
          <w:left w:val="single" w:sz="4" w:space="4" w:color="000000"/>
          <w:bottom w:val="single" w:sz="4" w:space="1" w:color="000000"/>
          <w:right w:val="single" w:sz="4" w:space="4" w:color="000000"/>
        </w:pBdr>
        <w:spacing w:lineRule="exact" w:line="320"/>
        <w:ind w:start="426" w:end="0"/>
        <w:jc w:val="both"/>
        <w:rPr>
          <w:i/>
          <w:i/>
          <w:sz w:val="24"/>
          <w:szCs w:val="24"/>
          <w:lang w:val="en-US"/>
        </w:rPr>
      </w:pPr>
      <w:r>
        <w:rPr>
          <w:i/>
          <w:sz w:val="24"/>
          <w:szCs w:val="24"/>
          <w:lang w:val="en-US"/>
        </w:rPr>
        <w:t>The footnotes are not an integral part of the representations concerned and are to be deleted from the version submitted to the entity.</w:t>
      </w:r>
    </w:p>
    <w:p>
      <w:pPr>
        <w:pStyle w:val="Normal"/>
        <w:spacing w:lineRule="exact" w:line="320"/>
        <w:ind w:hanging="357" w:start="799" w:end="0"/>
        <w:jc w:val="both"/>
        <w:rPr>
          <w:b/>
          <w:i/>
          <w:i/>
          <w:sz w:val="24"/>
          <w:szCs w:val="24"/>
          <w:lang w:val="en-US"/>
        </w:rPr>
      </w:pPr>
      <w:r>
        <w:rPr>
          <w:b/>
          <w:i/>
          <w:sz w:val="24"/>
          <w:szCs w:val="24"/>
          <w:lang w:val="en-US"/>
        </w:rPr>
      </w:r>
    </w:p>
    <w:p>
      <w:pPr>
        <w:pStyle w:val="Normal"/>
        <w:numPr>
          <w:ilvl w:val="0"/>
          <w:numId w:val="0"/>
        </w:numPr>
        <w:spacing w:lineRule="exact" w:line="320"/>
        <w:ind w:hanging="357" w:start="799" w:end="0"/>
        <w:jc w:val="both"/>
        <w:outlineLvl w:val="0"/>
        <w:rPr/>
      </w:pPr>
      <w:r>
        <w:rPr>
          <w:sz w:val="24"/>
          <w:szCs w:val="24"/>
          <w:lang w:val="en-US"/>
        </w:rPr>
        <w:t>Name of the firm(s) or individual(s) acting as Component Auditor(s)</w:t>
      </w:r>
    </w:p>
    <w:p>
      <w:pPr>
        <w:pStyle w:val="Normal"/>
        <w:spacing w:lineRule="exact" w:line="320"/>
        <w:ind w:hanging="357" w:start="799" w:end="0"/>
        <w:jc w:val="both"/>
        <w:rPr>
          <w:sz w:val="24"/>
          <w:szCs w:val="24"/>
          <w:lang w:val="en-US"/>
        </w:rPr>
      </w:pPr>
      <w:r>
        <w:rPr>
          <w:sz w:val="24"/>
          <w:szCs w:val="24"/>
          <w:lang w:val="en-US"/>
        </w:rPr>
      </w:r>
    </w:p>
    <w:p>
      <w:pPr>
        <w:pStyle w:val="Normal"/>
        <w:numPr>
          <w:ilvl w:val="0"/>
          <w:numId w:val="0"/>
        </w:numPr>
        <w:spacing w:lineRule="exact" w:line="320"/>
        <w:ind w:hanging="357" w:start="799" w:end="0"/>
        <w:jc w:val="both"/>
        <w:outlineLvl w:val="0"/>
        <w:rPr>
          <w:i/>
          <w:i/>
          <w:spacing w:val="-2"/>
          <w:sz w:val="24"/>
          <w:szCs w:val="24"/>
          <w:lang w:val="en-US"/>
        </w:rPr>
      </w:pPr>
      <w:r>
        <w:rPr>
          <w:i/>
          <w:spacing w:val="-2"/>
          <w:sz w:val="24"/>
          <w:szCs w:val="24"/>
          <w:lang w:val="en-US"/>
        </w:rPr>
        <w:t>Addresses</w:t>
      </w:r>
    </w:p>
    <w:p>
      <w:pPr>
        <w:pStyle w:val="Normal"/>
        <w:spacing w:lineRule="exact" w:line="320"/>
        <w:jc w:val="both"/>
        <w:rPr>
          <w:i/>
          <w:i/>
          <w:spacing w:val="-2"/>
          <w:sz w:val="24"/>
          <w:szCs w:val="24"/>
          <w:lang w:val="en-US"/>
        </w:rPr>
      </w:pPr>
      <w:r>
        <w:rPr>
          <w:i/>
          <w:spacing w:val="-2"/>
          <w:sz w:val="24"/>
          <w:szCs w:val="24"/>
          <w:lang w:val="en-US"/>
        </w:rPr>
      </w:r>
    </w:p>
    <w:p>
      <w:pPr>
        <w:pStyle w:val="Normal"/>
        <w:spacing w:lineRule="exact" w:line="320"/>
        <w:ind w:hanging="357" w:start="799" w:end="0"/>
        <w:jc w:val="both"/>
        <w:rPr>
          <w:sz w:val="24"/>
          <w:szCs w:val="24"/>
          <w:lang w:val="en-US"/>
        </w:rPr>
      </w:pPr>
      <w:r>
        <w:rPr>
          <w:spacing w:val="-2"/>
          <w:sz w:val="24"/>
          <w:szCs w:val="24"/>
          <w:lang w:val="en-US"/>
        </w:rPr>
        <w:t>[</w:t>
      </w:r>
      <w:r>
        <w:rPr>
          <w:i/>
          <w:spacing w:val="-2"/>
          <w:sz w:val="24"/>
          <w:szCs w:val="24"/>
          <w:lang w:val="en-US"/>
        </w:rPr>
        <w:t>Date</w:t>
      </w:r>
      <w:r>
        <w:rPr>
          <w:spacing w:val="-2"/>
          <w:sz w:val="24"/>
          <w:szCs w:val="24"/>
          <w:lang w:val="en-US"/>
        </w:rPr>
        <w:t>]</w:t>
      </w:r>
    </w:p>
    <w:p>
      <w:pPr>
        <w:pStyle w:val="Normal"/>
        <w:spacing w:lineRule="exact" w:line="320"/>
        <w:ind w:hanging="357" w:start="799" w:end="0"/>
        <w:jc w:val="both"/>
        <w:rPr>
          <w:sz w:val="24"/>
          <w:szCs w:val="24"/>
          <w:lang w:val="en-US"/>
        </w:rPr>
      </w:pPr>
      <w:r>
        <w:rPr>
          <w:sz w:val="24"/>
          <w:szCs w:val="24"/>
          <w:lang w:val="en-US"/>
        </w:rPr>
      </w:r>
    </w:p>
    <w:p>
      <w:pPr>
        <w:pStyle w:val="Normal"/>
        <w:numPr>
          <w:ilvl w:val="0"/>
          <w:numId w:val="0"/>
        </w:numPr>
        <w:spacing w:lineRule="exact" w:line="320"/>
        <w:ind w:hanging="357" w:start="799" w:end="0"/>
        <w:jc w:val="both"/>
        <w:outlineLvl w:val="0"/>
        <w:rPr>
          <w:sz w:val="24"/>
          <w:szCs w:val="24"/>
          <w:lang w:val="en-US"/>
        </w:rPr>
      </w:pPr>
      <w:r>
        <w:rPr>
          <w:sz w:val="24"/>
          <w:szCs w:val="24"/>
          <w:lang w:val="en-US"/>
        </w:rPr>
        <w:t xml:space="preserve"/>
      </w:r>
      <w:r>
        <w:rPr>
          <w:sz w:val="24"/>
          <w:szCs w:val="24"/>
          <w:lang w:val="en-US"/>
        </w:rPr>
        <w:t xml:space="preserve">Year ended December 31, 2026</w:t>
      </w:r>
    </w:p>
    <w:p>
      <w:pPr>
        <w:pStyle w:val="Normal"/>
        <w:spacing w:lineRule="exact" w:line="320"/>
        <w:ind w:hanging="357" w:start="799" w:end="0"/>
        <w:jc w:val="both"/>
        <w:rPr>
          <w:sz w:val="24"/>
          <w:szCs w:val="24"/>
          <w:lang w:val="en-US"/>
        </w:rPr>
      </w:pPr>
      <w:r>
        <w:rPr>
          <w:sz w:val="24"/>
          <w:szCs w:val="24"/>
          <w:lang w:val="en-US"/>
        </w:rPr>
      </w:r>
    </w:p>
    <w:p>
      <w:pPr>
        <w:pStyle w:val="Normal"/>
        <w:spacing w:lineRule="exact" w:line="320" w:before="180" w:after="0"/>
        <w:ind w:start="426" w:end="0"/>
        <w:jc w:val="both"/>
        <w:rPr/>
      </w:pPr>
      <w:r>
        <w:rPr>
          <w:sz w:val="24"/>
          <w:szCs w:val="24"/>
          <w:lang w:val="en-US"/>
        </w:rPr>
        <w:t xml:space="preserve">In accordance with the standards of your profession, this letter has been prepared in relation to the audit of the consolidation package of </w:t>
      </w:r>
      <w:r>
        <w:rPr>
          <w:iCs/>
          <w:sz w:val="24"/>
          <w:szCs w:val="24"/>
          <w:lang w:val="en-US"/>
        </w:rPr>
        <w:t xml:space="preserve"/>
      </w:r>
      <w:r>
        <w:rPr>
          <w:iCs/>
          <w:sz w:val="24"/>
          <w:szCs w:val="24"/>
          <w:lang w:val="en-US"/>
        </w:rPr>
        <w:t xml:space="preserve">Faurecia Emissions Control Technologies India Private Ltd. (IN04)</w:t>
      </w:r>
      <w:r>
        <w:rPr>
          <w:i/>
          <w:sz w:val="24"/>
          <w:szCs w:val="24"/>
          <w:lang w:val="en-US"/>
        </w:rPr>
        <w:t xml:space="preserve"/>
      </w:r>
      <w:r>
        <w:rPr>
          <w:iCs/>
          <w:sz w:val="24"/>
          <w:szCs w:val="24"/>
          <w:lang w:val="en-US"/>
        </w:rPr>
        <w:t xml:space="preserve"/>
      </w:r>
      <w:r>
        <w:rPr>
          <w:sz w:val="24"/>
          <w:szCs w:val="24"/>
          <w:lang w:val="en-US"/>
        </w:rPr>
        <w:t xml:space="preserve"> </w:t>
      </w:r>
      <w:r>
        <w:rPr>
          <w:sz w:val="24"/>
          <w:szCs w:val="24"/>
          <w:lang w:val="en-US"/>
        </w:rPr>
        <w:t xml:space="preserve">for the year ended December 31, 2026 prepared in accordance with</w:t>
      </w:r>
      <w:r>
        <w:rPr>
          <w:sz w:val="24"/>
          <w:szCs w:val="24"/>
          <w:lang w:val="en-US"/>
        </w:rPr>
        <w:t xml:space="preserve"> </w:t>
      </w:r>
      <w:r>
        <w:rPr>
          <w:iCs/>
          <w:sz w:val="24"/>
          <w:szCs w:val="24"/>
          <w:lang w:val="en-US"/>
        </w:rPr>
        <w:t xml:space="preserve"/>
      </w:r>
      <w:r>
        <w:rPr>
          <w:iCs/>
          <w:sz w:val="24"/>
          <w:szCs w:val="24"/>
          <w:lang w:val="en-US"/>
        </w:rPr>
        <w:t xml:space="preserve">the Faurecia Korea Group reporting instructions and the Faurecia Group accounting manual</w:t>
      </w:r>
      <w:r>
        <w:rPr>
          <w:i/>
          <w:sz w:val="24"/>
          <w:szCs w:val="24"/>
          <w:lang w:val="en-US"/>
        </w:rPr>
        <w:t xml:space="preserve"/>
      </w:r>
      <w:r>
        <w:rPr>
          <w:iCs/>
          <w:sz w:val="24"/>
          <w:szCs w:val="24"/>
          <w:lang w:val="en-US"/>
        </w:rPr>
        <w:t xml:space="preserve"/>
      </w:r>
      <w:r>
        <w:rPr>
          <w:sz w:val="24"/>
          <w:szCs w:val="24"/>
          <w:lang w:val="en-US"/>
        </w:rPr>
        <w:t xml:space="preserve"> (hereinafter referred to as "the Standards"). </w:t>
      </w:r>
      <w:r>
        <w:rPr>
          <w:sz w:val="24"/>
          <w:szCs w:val="24"/>
          <w:lang w:val="en-US"/>
        </w:rPr>
        <w:t xml:space="preserve">This consolidation package shows </w:t>
      </w:r>
      <w:r>
        <w:rPr>
          <w:sz w:val="24"/>
          <w:szCs w:val="24"/>
          <w:lang w:val="en-US"/>
        </w:rPr>
        <w:t xml:space="preserve">shareholders' equity of [currency and amount] at that date, including a profit/loss of [currency and amount].</w:t>
      </w:r>
    </w:p>
    <w:p>
      <w:pPr>
        <w:pStyle w:val="Normal"/>
        <w:spacing w:lineRule="exact" w:line="320"/>
        <w:ind w:start="426" w:end="0"/>
        <w:jc w:val="both"/>
        <w:rPr/>
      </w:pPr>
      <w:r>
        <w:rPr>
          <w:b/>
          <w:sz w:val="24"/>
          <w:szCs w:val="24"/>
          <w:lang w:val="en-US"/>
        </w:rPr>
        <w:t xml:space="preserve">As we are responsible for preparing the consolidation package </w:t>
      </w:r>
      <w:r>
        <w:rPr>
          <w:sz w:val="24"/>
          <w:szCs w:val="24"/>
          <w:lang w:val="en-US"/>
        </w:rPr>
        <w:t>and for implementing internal control procedures relating to such preparation</w:t>
      </w:r>
      <w:r>
        <w:rPr>
          <w:color w:val="000000"/>
          <w:sz w:val="24"/>
          <w:szCs w:val="24"/>
          <w:lang w:val="en-US"/>
        </w:rPr>
        <w:t>,</w:t>
      </w:r>
      <w:r>
        <w:rPr>
          <w:sz w:val="24"/>
          <w:szCs w:val="24"/>
          <w:lang w:val="en-US"/>
        </w:rPr>
        <w:t xml:space="preserve"> we hereby confirm that, to the best of our knowledge and belief, the information and representations provided to you during your engagement are correct.</w:t>
      </w:r>
    </w:p>
    <w:p>
      <w:pPr>
        <w:pStyle w:val="1PARAG"/>
        <w:numPr>
          <w:ilvl w:val="0"/>
          <w:numId w:val="2"/>
        </w:numPr>
        <w:tabs>
          <w:tab w:val="clear" w:pos="426"/>
          <w:tab w:val="left" w:pos="-1440" w:leader="none"/>
          <w:tab w:val="left" w:pos="851" w:leader="none"/>
        </w:tabs>
        <w:spacing w:before="120" w:after="0"/>
        <w:ind w:hanging="408" w:start="850" w:end="0"/>
        <w:rPr>
          <w:lang w:val="en-US"/>
        </w:rPr>
      </w:pPr>
      <w:r>
        <w:rPr>
          <w:lang w:val="en-US"/>
        </w:rPr>
        <w:t xml:space="preserve">The Consolidation package has been prepared to give a true and fair view of the financial position and operating results of the component in accordance with the group accounting principles. </w:t>
      </w:r>
    </w:p>
    <w:p>
      <w:pPr>
        <w:pStyle w:val="Normal"/>
        <w:numPr>
          <w:ilvl w:val="0"/>
          <w:numId w:val="2"/>
        </w:numPr>
        <w:tabs>
          <w:tab w:val="clear" w:pos="708"/>
          <w:tab w:val="left" w:pos="851" w:leader="none"/>
        </w:tabs>
        <w:spacing w:before="120" w:after="0"/>
        <w:ind w:hanging="425" w:start="850" w:end="0"/>
        <w:jc w:val="both"/>
        <w:rPr>
          <w:b/>
          <w:sz w:val="24"/>
          <w:szCs w:val="24"/>
          <w:lang w:val="en-US"/>
        </w:rPr>
      </w:pPr>
      <w:r>
        <w:rPr>
          <w:b/>
          <w:sz w:val="24"/>
          <w:szCs w:val="24"/>
          <w:lang w:val="en-US"/>
        </w:rPr>
        <w:t>Controls aimed at preventing and detecting any fraud or error have been designed and implemented.</w:t>
      </w:r>
    </w:p>
    <w:p>
      <w:pPr>
        <w:pStyle w:val="1PARAG"/>
        <w:numPr>
          <w:ilvl w:val="0"/>
          <w:numId w:val="2"/>
        </w:numPr>
        <w:tabs>
          <w:tab w:val="clear" w:pos="426"/>
          <w:tab w:val="left" w:pos="-1440" w:leader="none"/>
          <w:tab w:val="left" w:pos="851" w:leader="none"/>
        </w:tabs>
        <w:spacing w:before="120" w:after="0"/>
        <w:ind w:hanging="425" w:start="850" w:end="0"/>
        <w:rPr>
          <w:lang w:val="en-US"/>
        </w:rPr>
      </w:pPr>
      <w:r>
        <w:rPr>
          <w:b/>
          <w:lang w:val="en-US"/>
        </w:rPr>
        <w:t>We have reviewed the accompanying schedule of uncorrected misstatements which were identified during the audit. We believe that these misstatements, individually and in the aggregate, are not material to the Consolidation package taken as a whole.</w:t>
      </w:r>
    </w:p>
    <w:p>
      <w:pPr>
        <w:pStyle w:val="1PARAG"/>
        <w:numPr>
          <w:ilvl w:val="0"/>
          <w:numId w:val="2"/>
        </w:numPr>
        <w:tabs>
          <w:tab w:val="clear" w:pos="426"/>
          <w:tab w:val="left" w:pos="-1440" w:leader="none"/>
          <w:tab w:val="left" w:pos="851" w:leader="none"/>
        </w:tabs>
        <w:spacing w:before="120" w:after="0"/>
        <w:ind w:hanging="357" w:start="850" w:end="0"/>
        <w:rPr>
          <w:lang w:val="en-US"/>
        </w:rPr>
      </w:pPr>
      <w:r>
        <w:rPr>
          <w:lang w:val="en-US"/>
        </w:rPr>
        <w:t>We are not aware of any significant deficiencies in internal control processes, or any other material weaknesses [</w:t>
      </w:r>
      <w:r>
        <w:rPr>
          <w:i/>
          <w:iCs/>
          <w:lang w:val="en-US"/>
        </w:rPr>
        <w:t>apart from those already identified (specify)</w:t>
      </w:r>
      <w:r>
        <w:rPr>
          <w:lang w:val="en-US"/>
        </w:rPr>
        <w:t>].</w:t>
      </w:r>
    </w:p>
    <w:p>
      <w:pPr>
        <w:pStyle w:val="1PARAG"/>
        <w:numPr>
          <w:ilvl w:val="0"/>
          <w:numId w:val="2"/>
        </w:numPr>
        <w:tabs>
          <w:tab w:val="clear" w:pos="426"/>
          <w:tab w:val="left" w:pos="-1440" w:leader="none"/>
          <w:tab w:val="left" w:pos="851" w:leader="none"/>
        </w:tabs>
        <w:spacing w:before="120" w:after="0"/>
        <w:ind w:hanging="425" w:start="850" w:end="0"/>
        <w:rPr>
          <w:lang w:val="en-US"/>
        </w:rPr>
      </w:pPr>
      <w:r>
        <w:rPr>
          <w:b/>
          <w:lang w:val="en-US"/>
        </w:rPr>
        <w:t>At the date of this letter, we are not aware of any events subsequent to the period end other than those already taken into account which may require adjustment of or disclosure in the notes to the Consolidation package and/or management report.</w:t>
      </w:r>
    </w:p>
    <w:p>
      <w:pPr>
        <w:pStyle w:val="1PARAG"/>
        <w:numPr>
          <w:ilvl w:val="0"/>
          <w:numId w:val="2"/>
        </w:numPr>
        <w:tabs>
          <w:tab w:val="clear" w:pos="426"/>
          <w:tab w:val="left" w:pos="-1440" w:leader="none"/>
          <w:tab w:val="left" w:pos="851" w:leader="none"/>
        </w:tabs>
        <w:spacing w:before="120" w:after="0"/>
        <w:ind w:hanging="425" w:start="850" w:end="0"/>
        <w:rPr>
          <w:lang w:val="en-US"/>
        </w:rPr>
      </w:pPr>
      <w:r>
        <w:rPr>
          <w:bCs/>
          <w:color w:val="000000"/>
          <w:lang w:val="en-US"/>
        </w:rPr>
        <w:t>We have made available to you:</w:t>
      </w:r>
    </w:p>
    <w:p>
      <w:pPr>
        <w:pStyle w:val="1PARAG"/>
        <w:numPr>
          <w:ilvl w:val="0"/>
          <w:numId w:val="0"/>
        </w:numPr>
        <w:tabs>
          <w:tab w:val="clear" w:pos="426"/>
          <w:tab w:val="left" w:pos="-1440" w:leader="none"/>
          <w:tab w:val="left" w:pos="1276" w:leader="none"/>
        </w:tabs>
        <w:ind w:hanging="425" w:start="1276" w:end="0"/>
        <w:rPr/>
      </w:pPr>
      <w:r>
        <w:rPr>
          <w:bCs/>
          <w:color w:val="000000"/>
          <w:lang w:val="en-US"/>
        </w:rPr>
        <w:t>-</w:t>
        <w:tab/>
        <w:t>all financial and accounting records, the contracts which have or may have a material impact on the Consolidation package, the minutes of meetings of shareholders and the Board of Directors (or equivalent body depending on the form of the company) held during the year and up to the date of this letter, together with</w:t>
      </w:r>
    </w:p>
    <w:p>
      <w:pPr>
        <w:pStyle w:val="1PARAG"/>
        <w:numPr>
          <w:ilvl w:val="0"/>
          <w:numId w:val="0"/>
        </w:numPr>
        <w:tabs>
          <w:tab w:val="clear" w:pos="426"/>
          <w:tab w:val="left" w:pos="-1440" w:leader="none"/>
          <w:tab w:val="left" w:pos="1276" w:leader="none"/>
        </w:tabs>
        <w:ind w:hanging="425" w:start="1276" w:end="0"/>
        <w:rPr/>
      </w:pPr>
      <w:r>
        <w:rPr>
          <w:bCs/>
          <w:color w:val="000000"/>
          <w:lang w:val="en-US"/>
        </w:rPr>
        <w:t>-</w:t>
        <w:tab/>
        <w:t>any reports, notices or positions issued by regulatory or supervisory bodies, the contents of which could have a material effect on the presentation of the Consolidation package.</w:t>
      </w:r>
    </w:p>
    <w:p>
      <w:pPr>
        <w:pStyle w:val="1PARAG"/>
        <w:numPr>
          <w:ilvl w:val="0"/>
          <w:numId w:val="2"/>
        </w:numPr>
        <w:tabs>
          <w:tab w:val="clear" w:pos="426"/>
          <w:tab w:val="left" w:pos="-1440" w:leader="none"/>
          <w:tab w:val="left" w:pos="851" w:leader="none"/>
        </w:tabs>
        <w:spacing w:before="120" w:after="0"/>
        <w:ind w:hanging="425" w:start="850" w:end="0"/>
        <w:rPr>
          <w:lang w:val="en-US"/>
        </w:rPr>
      </w:pPr>
      <w:r>
        <w:rPr>
          <w:lang w:val="en-US"/>
        </w:rPr>
        <w:t>We have provided you with all the additional information that you have requested and have given you free access to the personnel of the company who you wished to meet as part of your audit.</w:t>
      </w:r>
    </w:p>
    <w:p>
      <w:pPr>
        <w:pStyle w:val="Normal"/>
        <w:numPr>
          <w:ilvl w:val="0"/>
          <w:numId w:val="2"/>
        </w:numPr>
        <w:tabs>
          <w:tab w:val="clear" w:pos="708"/>
          <w:tab w:val="left" w:pos="851" w:leader="none"/>
        </w:tabs>
        <w:spacing w:before="120" w:after="0"/>
        <w:ind w:hanging="425" w:start="850" w:end="0"/>
        <w:jc w:val="both"/>
        <w:rPr>
          <w:b/>
          <w:sz w:val="24"/>
          <w:szCs w:val="24"/>
          <w:lang w:val="en-US"/>
        </w:rPr>
      </w:pPr>
      <w:r>
        <w:rPr>
          <w:b/>
          <w:bCs/>
          <w:sz w:val="24"/>
          <w:szCs w:val="24"/>
          <w:lang w:val="en-US"/>
        </w:rPr>
        <w:t>[</w:t>
      </w:r>
      <w:r>
        <w:rPr>
          <w:b/>
          <w:bCs/>
          <w:i/>
          <w:iCs/>
          <w:sz w:val="24"/>
          <w:szCs w:val="24"/>
          <w:lang w:val="en-US"/>
        </w:rPr>
        <w:t>Where applicable: We have provided you with our action plans [and cash flow forecasts] defined for the future aimed at ensuring the continuation of our operations for the next twelve months; these action plans represent management’s intentions and as far as we are aware there are no new matters which could compromise these plans</w:t>
      </w:r>
      <w:r>
        <w:rPr>
          <w:b/>
          <w:bCs/>
          <w:sz w:val="24"/>
          <w:szCs w:val="24"/>
          <w:lang w:val="en-US"/>
        </w:rPr>
        <w:t>]</w:t>
      </w:r>
      <w:r>
        <w:rPr>
          <w:lang w:val="en-US"/>
        </w:rPr>
        <w:t>.</w:t>
      </w:r>
    </w:p>
    <w:p>
      <w:pPr>
        <w:pStyle w:val="1PARAG"/>
        <w:numPr>
          <w:ilvl w:val="0"/>
          <w:numId w:val="2"/>
        </w:numPr>
        <w:tabs>
          <w:tab w:val="clear" w:pos="426"/>
          <w:tab w:val="left" w:pos="-1440" w:leader="none"/>
        </w:tabs>
        <w:spacing w:before="120" w:after="0"/>
        <w:ind w:hanging="357" w:start="850" w:end="0"/>
        <w:rPr>
          <w:b/>
          <w:bCs/>
          <w:i/>
          <w:i/>
          <w:iCs/>
          <w:lang w:val="en-US"/>
        </w:rPr>
      </w:pPr>
      <w:r>
        <w:rPr>
          <w:rFonts w:eastAsia="Times New Roman"/>
          <w:b/>
          <w:bCs/>
          <w:lang w:val="en-US"/>
        </w:rPr>
        <w:t xml:space="preserve">   </w:t>
      </w:r>
      <w:r>
        <w:rPr>
          <w:b/>
          <w:bCs/>
          <w:lang w:val="en-US"/>
        </w:rPr>
        <w:t>We have informed you of our assessment of the risk that the Consolidation package may be materially misstated as a result of fraud.</w:t>
      </w:r>
    </w:p>
    <w:p>
      <w:pPr>
        <w:pStyle w:val="1PARAG"/>
        <w:numPr>
          <w:ilvl w:val="0"/>
          <w:numId w:val="0"/>
        </w:numPr>
        <w:tabs>
          <w:tab w:val="clear" w:pos="426"/>
          <w:tab w:val="left" w:pos="-1440" w:leader="none"/>
          <w:tab w:val="left" w:pos="851" w:leader="none"/>
        </w:tabs>
        <w:spacing w:lineRule="exact" w:line="320"/>
        <w:ind w:hanging="0" w:start="851" w:end="0"/>
        <w:rPr>
          <w:b/>
          <w:bCs/>
          <w:lang w:val="en-US"/>
        </w:rPr>
      </w:pPr>
      <w:r>
        <w:rPr>
          <w:b/>
          <w:bCs/>
          <w:lang w:val="en-US"/>
        </w:rPr>
        <w:t>We have informed you of:</w:t>
      </w:r>
    </w:p>
    <w:p>
      <w:pPr>
        <w:pStyle w:val="3"/>
        <w:tabs>
          <w:tab w:val="clear" w:pos="708"/>
          <w:tab w:val="left" w:pos="1276" w:leader="none"/>
        </w:tabs>
        <w:spacing w:before="0" w:after="0"/>
        <w:ind w:hanging="425" w:start="1276" w:end="0"/>
        <w:jc w:val="both"/>
        <w:rPr/>
      </w:pPr>
      <w:r>
        <w:rPr>
          <w:b/>
          <w:bCs/>
          <w:iCs/>
          <w:sz w:val="24"/>
          <w:szCs w:val="24"/>
          <w:lang w:val="en-US"/>
        </w:rPr>
        <w:t>a.</w:t>
        <w:tab/>
        <w:t>any fraud or suspected fraud of which we have become aware, and involving management, employees who have significant roles in internal control over financial reporting or others where the fraud could have a material effect on the Consolidation package;</w:t>
      </w:r>
    </w:p>
    <w:p>
      <w:pPr>
        <w:pStyle w:val="3"/>
        <w:tabs>
          <w:tab w:val="clear" w:pos="708"/>
          <w:tab w:val="left" w:pos="1276" w:leader="none"/>
        </w:tabs>
        <w:spacing w:before="120" w:after="0"/>
        <w:ind w:hanging="425" w:start="1276" w:end="0"/>
        <w:jc w:val="both"/>
        <w:rPr/>
      </w:pPr>
      <w:r>
        <w:rPr>
          <w:b/>
          <w:bCs/>
          <w:iCs/>
          <w:sz w:val="24"/>
          <w:szCs w:val="24"/>
          <w:lang w:val="en-US"/>
        </w:rPr>
        <w:t>b.</w:t>
        <w:tab/>
        <w:t>allegations of fraud likely to affect the Consolidation package and communicated by employees, former employees, analysts, regulators or others.</w:t>
      </w:r>
    </w:p>
    <w:p>
      <w:pPr>
        <w:pStyle w:val="1PARAG"/>
        <w:numPr>
          <w:ilvl w:val="0"/>
          <w:numId w:val="2"/>
        </w:numPr>
        <w:tabs>
          <w:tab w:val="clear" w:pos="426"/>
          <w:tab w:val="left" w:pos="-1440" w:leader="none"/>
          <w:tab w:val="left" w:pos="851" w:leader="none"/>
        </w:tabs>
        <w:spacing w:before="120" w:after="0"/>
        <w:ind w:hanging="357" w:start="850" w:end="0"/>
        <w:rPr>
          <w:lang w:val="en-US"/>
        </w:rPr>
      </w:pPr>
      <w:r>
        <w:rPr>
          <w:b/>
          <w:bCs/>
          <w:iCs/>
          <w:lang w:val="en-US"/>
        </w:rPr>
        <w:t xml:space="preserve">To the best of our knowledge, we have complied with laws and regulations. </w:t>
      </w:r>
      <w:r>
        <w:rPr>
          <w:bCs/>
          <w:iCs/>
          <w:lang w:val="en-US"/>
        </w:rPr>
        <w:t xml:space="preserve">Procedures have been designed and implemented to ensure compliance with such laws and regulations. We are not aware of any noncompliance which may materially effect the Consolidation package, </w:t>
      </w:r>
      <w:r>
        <w:rPr>
          <w:i/>
          <w:lang w:val="en-US"/>
        </w:rPr>
        <w:t>apart from those cases already mentioned (specify).</w:t>
      </w:r>
    </w:p>
    <w:p>
      <w:pPr>
        <w:pStyle w:val="1PARAG"/>
        <w:numPr>
          <w:ilvl w:val="0"/>
          <w:numId w:val="0"/>
        </w:numPr>
        <w:tabs>
          <w:tab w:val="clear" w:pos="426"/>
          <w:tab w:val="left" w:pos="-1440" w:leader="none"/>
          <w:tab w:val="left" w:pos="851" w:leader="none"/>
        </w:tabs>
        <w:spacing w:before="120" w:after="0"/>
        <w:ind w:hanging="360" w:start="720" w:end="0"/>
        <w:rPr>
          <w:lang w:val="en-US"/>
        </w:rPr>
      </w:pPr>
      <w:r>
        <w:rPr>
          <w:lang w:val="en-US"/>
        </w:rPr>
      </w:r>
    </w:p>
    <w:p>
      <w:pPr>
        <w:pStyle w:val="1PARAG"/>
        <w:numPr>
          <w:ilvl w:val="0"/>
          <w:numId w:val="2"/>
        </w:numPr>
        <w:tabs>
          <w:tab w:val="clear" w:pos="426"/>
          <w:tab w:val="left" w:pos="-1440" w:leader="none"/>
          <w:tab w:val="left" w:pos="851" w:leader="none"/>
        </w:tabs>
        <w:ind w:hanging="357" w:start="850" w:end="0"/>
        <w:rPr>
          <w:lang w:val="en-US"/>
        </w:rPr>
      </w:pPr>
      <w:r>
        <w:rPr>
          <w:lang w:val="en-US"/>
        </w:rPr>
        <w:t>All the transactions carried out during the year and all the financial consequences of any agreement/contract have been properly recorded or described in the notes to the Consolidation package.</w:t>
      </w:r>
    </w:p>
    <w:p>
      <w:pPr>
        <w:pStyle w:val="1PARAG"/>
        <w:numPr>
          <w:ilvl w:val="0"/>
          <w:numId w:val="2"/>
        </w:numPr>
        <w:tabs>
          <w:tab w:val="clear" w:pos="426"/>
          <w:tab w:val="left" w:pos="-1440" w:leader="none"/>
          <w:tab w:val="left" w:pos="851" w:leader="none"/>
        </w:tabs>
        <w:spacing w:before="120" w:after="0"/>
        <w:ind w:hanging="357" w:start="850" w:end="0"/>
        <w:rPr>
          <w:lang w:val="en-US"/>
        </w:rPr>
      </w:pPr>
      <w:r>
        <w:rPr>
          <w:b/>
          <w:lang w:val="en-US"/>
        </w:rPr>
        <w:t xml:space="preserve">The </w:t>
      </w:r>
      <w:r>
        <w:rPr>
          <w:b/>
          <w:bCs/>
          <w:iCs/>
          <w:lang w:val="en-US"/>
        </w:rPr>
        <w:t>main</w:t>
      </w:r>
      <w:r>
        <w:rPr>
          <w:b/>
          <w:lang w:val="en-US"/>
        </w:rPr>
        <w:t xml:space="preserve"> assumptions used for making accounting estimates</w:t>
      </w:r>
      <w:r>
        <w:rPr>
          <w:lang w:val="en-US"/>
        </w:rPr>
        <w:t xml:space="preserve">, including fair value measurements, </w:t>
      </w:r>
      <w:r>
        <w:rPr>
          <w:b/>
          <w:lang w:val="en-US"/>
        </w:rPr>
        <w:t>reflect our intentions and</w:t>
      </w:r>
      <w:r>
        <w:rPr>
          <w:lang w:val="en-US"/>
        </w:rPr>
        <w:t xml:space="preserve"> </w:t>
      </w:r>
      <w:r>
        <w:rPr>
          <w:b/>
          <w:lang w:val="en-US"/>
        </w:rPr>
        <w:t xml:space="preserve">the group’s current capacity to carry out its action plans. </w:t>
      </w:r>
    </w:p>
    <w:p>
      <w:pPr>
        <w:pStyle w:val="1PARAG"/>
        <w:numPr>
          <w:ilvl w:val="0"/>
          <w:numId w:val="0"/>
        </w:numPr>
        <w:tabs>
          <w:tab w:val="clear" w:pos="426"/>
          <w:tab w:val="left" w:pos="-1440" w:leader="none"/>
          <w:tab w:val="left" w:pos="851" w:leader="none"/>
        </w:tabs>
        <w:ind w:hanging="360" w:start="720" w:end="0"/>
        <w:rPr>
          <w:lang w:val="en-US"/>
        </w:rPr>
      </w:pPr>
      <w:r>
        <w:rPr>
          <w:lang w:val="en-US"/>
        </w:rPr>
      </w:r>
    </w:p>
    <w:p>
      <w:pPr>
        <w:pStyle w:val="1PARAG"/>
        <w:numPr>
          <w:ilvl w:val="0"/>
          <w:numId w:val="2"/>
        </w:numPr>
        <w:tabs>
          <w:tab w:val="clear" w:pos="426"/>
          <w:tab w:val="left" w:pos="-1440" w:leader="none"/>
          <w:tab w:val="left" w:pos="851" w:leader="none"/>
        </w:tabs>
        <w:ind w:hanging="360" w:start="851" w:end="0"/>
        <w:rPr>
          <w:lang w:val="en-US"/>
        </w:rPr>
      </w:pPr>
      <w:r>
        <w:rPr>
          <w:iCs/>
          <w:lang w:val="en-US"/>
        </w:rPr>
        <w:t>All liabilities and contingent liabilities of which we are aware [</w:t>
      </w:r>
      <w:r>
        <w:rPr>
          <w:i/>
          <w:lang w:val="en-US"/>
        </w:rPr>
        <w:t>in particular in relation to environmental and social aspects, current lawsuits, tax returns open for inspection, as well as any claims or litigation</w:t>
      </w:r>
      <w:r>
        <w:rPr>
          <w:iCs/>
          <w:lang w:val="en-US"/>
        </w:rPr>
        <w:t>] are included in the Consolidation package.</w:t>
      </w:r>
    </w:p>
    <w:p>
      <w:pPr>
        <w:pStyle w:val="ListParagraph1"/>
        <w:rPr>
          <w:b/>
          <w:sz w:val="24"/>
          <w:szCs w:val="24"/>
          <w:lang w:val="en-US"/>
        </w:rPr>
      </w:pPr>
      <w:r>
        <w:rPr>
          <w:b/>
          <w:sz w:val="24"/>
          <w:szCs w:val="24"/>
          <w:lang w:val="en-US"/>
        </w:rPr>
      </w:r>
    </w:p>
    <w:p>
      <w:pPr>
        <w:pStyle w:val="1PARAG"/>
        <w:numPr>
          <w:ilvl w:val="0"/>
          <w:numId w:val="2"/>
        </w:numPr>
        <w:tabs>
          <w:tab w:val="clear" w:pos="426"/>
          <w:tab w:val="left" w:pos="-1440" w:leader="none"/>
          <w:tab w:val="left" w:pos="851" w:leader="none"/>
        </w:tabs>
        <w:ind w:hanging="360" w:start="851" w:end="0"/>
        <w:rPr>
          <w:lang w:val="en-US"/>
        </w:rPr>
      </w:pPr>
      <w:r>
        <w:rPr>
          <w:b/>
          <w:lang w:val="en-US"/>
        </w:rPr>
        <w:t xml:space="preserve">The information we </w:t>
      </w:r>
      <w:r>
        <w:rPr>
          <w:b/>
          <w:bCs/>
          <w:iCs/>
          <w:color w:val="000000"/>
          <w:lang w:val="en-US"/>
        </w:rPr>
        <w:t xml:space="preserve">have provided concerning the identification of related parties as well as the relationships and transactions with said parties and their accounting treatment, including the disclosures in the notes to the Consolidation package, </w:t>
      </w:r>
      <w:r>
        <w:rPr>
          <w:b/>
          <w:bCs/>
          <w:color w:val="000000"/>
          <w:lang w:val="en-US"/>
        </w:rPr>
        <w:t>is compliant with the Standards</w:t>
      </w:r>
      <w:r>
        <w:rPr>
          <w:bCs/>
          <w:color w:val="000000"/>
          <w:lang w:val="en-US"/>
        </w:rPr>
        <w:t>.</w:t>
      </w:r>
    </w:p>
    <w:p>
      <w:pPr>
        <w:pStyle w:val="Normal"/>
        <w:tabs>
          <w:tab w:val="clear" w:pos="708"/>
          <w:tab w:val="left" w:pos="-1440" w:leader="none"/>
          <w:tab w:val="left" w:pos="-720" w:leader="none"/>
          <w:tab w:val="left" w:pos="-567" w:leader="none"/>
          <w:tab w:val="left" w:pos="331"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uppressAutoHyphens w:val="true"/>
        <w:ind w:hanging="357" w:start="799" w:end="0"/>
        <w:jc w:val="both"/>
        <w:rPr>
          <w:spacing w:val="-2"/>
          <w:sz w:val="24"/>
          <w:szCs w:val="24"/>
          <w:lang w:val="en-US"/>
        </w:rPr>
      </w:pPr>
      <w:r>
        <w:rPr>
          <w:spacing w:val="-2"/>
          <w:sz w:val="24"/>
          <w:szCs w:val="24"/>
          <w:lang w:val="en-US"/>
        </w:rPr>
      </w:r>
    </w:p>
    <w:p>
      <w:pPr>
        <w:pStyle w:val="Heading1"/>
        <w:tabs>
          <w:tab w:val="clear" w:pos="720"/>
          <w:tab w:val="left" w:pos="-1440" w:leader="none"/>
          <w:tab w:val="left" w:pos="-720" w:leader="none"/>
          <w:tab w:val="left" w:pos="-567" w:leader="none"/>
          <w:tab w:val="left" w:pos="331" w:leader="none"/>
          <w:tab w:val="left" w:pos="426"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ind w:hanging="0" w:start="426" w:end="0"/>
        <w:jc w:val="both"/>
        <w:rPr/>
      </w:pPr>
      <w:r>
        <w:rPr>
          <w:szCs w:val="24"/>
          <w:lang w:val="en-US"/>
        </w:rPr>
        <w:t>The Chairman and Chief Executive Officer or</w:t>
        <w:tab/>
        <w:tab/>
        <w:tab/>
        <w:t>The Chief Financial Officer</w:t>
        <w:br/>
        <w:t>the Chief Executive Officer or</w:t>
        <w:tab/>
        <w:tab/>
      </w:r>
    </w:p>
    <w:p>
      <w:pPr>
        <w:pStyle w:val="Normal"/>
        <w:tabs>
          <w:tab w:val="clear" w:pos="708"/>
          <w:tab w:val="left" w:pos="-1440" w:leader="none"/>
          <w:tab w:val="left" w:pos="-720" w:leader="none"/>
          <w:tab w:val="left" w:pos="-567" w:leader="none"/>
          <w:tab w:val="left" w:pos="284"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uppressAutoHyphens w:val="true"/>
        <w:ind w:hanging="357" w:start="799" w:end="0"/>
        <w:jc w:val="both"/>
        <w:rPr>
          <w:sz w:val="24"/>
          <w:szCs w:val="24"/>
          <w:lang w:val="en-US"/>
        </w:rPr>
      </w:pPr>
      <w:r>
        <w:rPr>
          <w:spacing w:val="-2"/>
          <w:sz w:val="24"/>
          <w:szCs w:val="24"/>
          <w:lang w:val="en-US"/>
        </w:rPr>
        <w:t>the Deputy Chief Executive Officer (The Manager)</w:t>
      </w:r>
    </w:p>
    <w:p>
      <w:pPr>
        <w:pStyle w:val="2"/>
        <w:spacing w:lineRule="exact" w:line="320"/>
        <w:ind w:hanging="0" w:end="0"/>
        <w:rPr>
          <w:sz w:val="24"/>
          <w:szCs w:val="24"/>
          <w:lang w:val="en-US"/>
        </w:rPr>
      </w:pPr>
      <w:r>
        <w:rPr>
          <w:sz w:val="24"/>
          <w:szCs w:val="24"/>
          <w:lang w:val="en-US"/>
        </w:rPr>
      </w:r>
    </w:p>
    <w:p>
      <w:pPr>
        <w:pStyle w:val="ListParagraph1"/>
        <w:rPr>
          <w:sz w:val="24"/>
          <w:szCs w:val="24"/>
          <w:lang w:val="en-US"/>
        </w:rPr>
      </w:pPr>
      <w:r>
        <w:rPr>
          <w:sz w:val="24"/>
          <w:szCs w:val="24"/>
          <w:lang w:val="en-US"/>
        </w:rPr>
      </w:r>
      <w:r>
        <w:br w:type="page"/>
      </w:r>
    </w:p>
    <w:p>
      <w:pPr>
        <w:pStyle w:val="ListParagraph1"/>
        <w:rPr>
          <w:sz w:val="24"/>
          <w:szCs w:val="24"/>
          <w:lang w:val="en-US"/>
        </w:rPr>
      </w:pPr>
      <w:r>
        <w:rPr>
          <w:sz w:val="24"/>
          <w:szCs w:val="24"/>
          <w:lang w:val="en-US"/>
        </w:rPr>
      </w:r>
    </w:p>
    <w:p>
      <w:pPr>
        <w:pStyle w:val="ListParagraph1"/>
        <w:ind w:start="426" w:end="0"/>
        <w:rPr>
          <w:b/>
          <w:sz w:val="24"/>
          <w:szCs w:val="24"/>
          <w:lang w:val="en-US"/>
        </w:rPr>
      </w:pPr>
      <w:r>
        <w:rPr>
          <w:b/>
          <w:sz w:val="24"/>
          <w:szCs w:val="24"/>
          <w:lang w:val="en-US"/>
        </w:rPr>
        <w:t>APPENDICES</w:t>
      </w:r>
    </w:p>
    <w:p>
      <w:pPr>
        <w:pStyle w:val="ListParagraph1"/>
        <w:ind w:start="426" w:end="0"/>
        <w:rPr>
          <w:b/>
          <w:sz w:val="24"/>
          <w:szCs w:val="24"/>
          <w:lang w:val="en-US"/>
        </w:rPr>
      </w:pPr>
      <w:r>
        <w:rPr>
          <w:b/>
          <w:sz w:val="24"/>
          <w:szCs w:val="24"/>
          <w:lang w:val="en-US"/>
        </w:rPr>
      </w:r>
    </w:p>
    <w:p>
      <w:pPr>
        <w:pStyle w:val="ListParagraph1"/>
        <w:ind w:start="426" w:end="0"/>
        <w:rPr/>
      </w:pPr>
      <w:r>
        <w:rPr>
          <w:b/>
          <w:sz w:val="24"/>
          <w:szCs w:val="24"/>
          <w:lang w:val="en-US"/>
        </w:rPr>
        <w:t xml:space="preserve">A - SCHEDULE OF UNCORRECTED MISSTATEMENTS IMPACTING THE CONSOLIDATED CONSOLIDATION PACKAGE </w:t>
      </w:r>
      <w:r>
        <w:rPr>
          <w:b/>
          <w:sz w:val="24"/>
          <w:szCs w:val="24"/>
          <w:lang w:val="en-US"/>
        </w:rPr>
        <w:t xml:space="preserve">FOR THE YEAR ENDED DECEMBER 31, 2026</w:t>
      </w:r>
    </w:p>
    <w:p>
      <w:pPr>
        <w:pStyle w:val="ListParagraph1"/>
        <w:ind w:start="426" w:end="0"/>
        <w:rPr>
          <w:b/>
          <w:sz w:val="24"/>
          <w:szCs w:val="24"/>
          <w:lang w:val="en-US"/>
        </w:rPr>
      </w:pPr>
      <w:r>
        <w:rPr>
          <w:b/>
          <w:sz w:val="24"/>
          <w:szCs w:val="24"/>
          <w:lang w:val="en-US"/>
        </w:rPr>
      </w:r>
    </w:p>
    <w:p>
      <w:pPr>
        <w:pStyle w:val="ListParagraph1"/>
        <w:ind w:start="426" w:end="0"/>
        <w:rPr/>
      </w:pPr>
      <w:r>
        <w:rPr>
          <w:b/>
          <w:sz w:val="24"/>
          <w:szCs w:val="24"/>
          <w:lang w:val="en-US"/>
        </w:rPr>
        <w:t>B - LIST OF OTHER UNCORRECTED MISSTATEMENTS IMPACTING THE PRESENTATION OF THE CONSOLIDATED CONSOLIDATION PACKAGE OR THE NOTES TO THE CONSOLIDATED CONSOLIDATION PACKAGE (</w:t>
      </w:r>
      <w:r>
        <w:rPr>
          <w:b/>
          <w:i/>
          <w:sz w:val="24"/>
          <w:szCs w:val="24"/>
          <w:lang w:val="en-US"/>
        </w:rPr>
        <w:t>where applicable</w:t>
      </w:r>
      <w:r>
        <w:rPr>
          <w:b/>
          <w:sz w:val="24"/>
          <w:szCs w:val="24"/>
          <w:lang w:val="en-US"/>
        </w:rPr>
        <w:t>)</w:t>
      </w:r>
      <w:r>
        <w:br w:type="page"/>
      </w:r>
    </w:p>
    <w:p>
      <w:pPr>
        <w:pStyle w:val="Normal"/>
        <w:tabs>
          <w:tab w:val="clear" w:pos="708"/>
          <w:tab w:val="left" w:pos="-1440" w:leader="none"/>
          <w:tab w:val="left" w:pos="-720" w:leader="none"/>
          <w:tab w:val="left" w:pos="-567" w:leader="none"/>
          <w:tab w:val="left" w:pos="284" w:leader="none"/>
          <w:tab w:val="left" w:pos="426"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uppressAutoHyphens w:val="true"/>
        <w:spacing w:lineRule="exact" w:line="320"/>
        <w:ind w:firstLine="16" w:start="426" w:end="0"/>
        <w:jc w:val="both"/>
        <w:rPr/>
      </w:pPr>
      <w:r>
        <w:rPr>
          <w:b/>
          <w:bCs/>
          <w:sz w:val="24"/>
          <w:szCs w:val="24"/>
          <w:lang w:val="en-US"/>
        </w:rPr>
        <w:t xml:space="preserve">APPENDIX A - SCHEDULE OF UNCORRECTED MISSTATEMENTS IMPACTING THE CONSOLIDATED CONSOLIDATION PACKAGE </w:t>
      </w:r>
      <w:r>
        <w:rPr>
          <w:b/>
          <w:bCs/>
          <w:sz w:val="24"/>
          <w:szCs w:val="24"/>
          <w:lang w:val="en-US"/>
        </w:rPr>
        <w:t xml:space="preserve">FOR THE YEAR ENDED DECEMBER 31, 2026</w:t>
      </w:r>
    </w:p>
    <w:p>
      <w:pPr>
        <w:pStyle w:val="2"/>
        <w:spacing w:lineRule="exact" w:line="320"/>
        <w:ind w:hanging="357" w:start="799" w:end="0"/>
        <w:rPr>
          <w:b/>
          <w:bCs/>
          <w:sz w:val="24"/>
          <w:szCs w:val="24"/>
          <w:lang w:val="en-US"/>
        </w:rPr>
      </w:pPr>
      <w:r>
        <w:rPr>
          <w:b/>
          <w:bCs/>
          <w:sz w:val="24"/>
          <w:szCs w:val="24"/>
          <w:lang w:val="en-US"/>
        </w:rPr>
      </w:r>
    </w:p>
    <w:p>
      <w:pPr>
        <w:pStyle w:val="2"/>
        <w:spacing w:lineRule="exact" w:line="320"/>
        <w:ind w:hanging="357" w:start="799" w:end="0"/>
        <w:rPr>
          <w:b/>
          <w:bCs/>
          <w:sz w:val="24"/>
          <w:szCs w:val="24"/>
          <w:lang w:val="en-US"/>
        </w:rPr>
      </w:pPr>
      <w:r>
        <w:rPr>
          <w:b/>
          <w:bCs/>
          <w:sz w:val="24"/>
          <w:szCs w:val="24"/>
          <w:lang w:val="en-US"/>
        </w:rPr>
        <w:t>(Please attach appendix D7-Summary of Misstatements, or summarise it below)</w:t>
      </w:r>
    </w:p>
    <w:p>
      <w:pPr>
        <w:pStyle w:val="2"/>
        <w:spacing w:lineRule="exact" w:line="320"/>
        <w:ind w:hanging="357" w:start="799" w:end="0"/>
        <w:rPr>
          <w:b/>
          <w:bCs/>
          <w:sz w:val="24"/>
          <w:szCs w:val="24"/>
          <w:lang w:val="en-US"/>
        </w:rPr>
      </w:pPr>
      <w:r>
        <w:rPr>
          <w:b/>
          <w:bCs/>
          <w:sz w:val="24"/>
          <w:szCs w:val="24"/>
          <w:lang w:val="en-US"/>
        </w:rPr>
      </w:r>
    </w:p>
    <w:tbl>
      <w:tblPr>
        <w:tblW w:w="9766" w:type="dxa"/>
        <w:jc w:val="center"/>
        <w:tblInd w:w="0" w:type="dxa"/>
        <w:tblLayout w:type="fixed"/>
        <w:tblCellMar>
          <w:top w:w="0" w:type="dxa"/>
          <w:start w:w="70" w:type="dxa"/>
          <w:bottom w:w="0" w:type="dxa"/>
          <w:end w:w="70" w:type="dxa"/>
        </w:tblCellMar>
      </w:tblPr>
      <w:tblGrid>
        <w:gridCol w:w="3669"/>
        <w:gridCol w:w="2018"/>
        <w:gridCol w:w="2063"/>
        <w:gridCol w:w="2016"/>
      </w:tblGrid>
      <w:tr>
        <w:trPr>
          <w:trHeight w:val="2713" w:hRule="atLeast"/>
        </w:trPr>
        <w:tc>
          <w:tcPr>
            <w:tcW w:w="366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ind w:start="420" w:end="0"/>
              <w:jc w:val="both"/>
              <w:rPr>
                <w:b/>
                <w:bCs/>
                <w:sz w:val="24"/>
                <w:szCs w:val="24"/>
              </w:rPr>
            </w:pPr>
            <w:r>
              <w:rPr>
                <w:b/>
                <w:bCs/>
                <w:sz w:val="24"/>
                <w:szCs w:val="24"/>
              </w:rPr>
              <w:t xml:space="preserve">DESCRIPTION </w:t>
            </w:r>
          </w:p>
          <w:p>
            <w:pPr>
              <w:pStyle w:val="Normal"/>
              <w:spacing w:lineRule="exact" w:line="320"/>
              <w:ind w:start="420" w:end="0"/>
              <w:jc w:val="both"/>
              <w:rPr/>
            </w:pPr>
            <w:r>
              <w:rPr>
                <w:b/>
                <w:bCs/>
                <w:sz w:val="24"/>
                <w:szCs w:val="24"/>
              </w:rPr>
              <w:t xml:space="preserve">OF MISSTATEMENTS  </w:t>
            </w:r>
          </w:p>
        </w:tc>
        <w:tc>
          <w:tcPr>
            <w:tcW w:w="2018" w:type="dxa"/>
            <w:tcBorders>
              <w:top w:val="single" w:sz="4" w:space="0" w:color="000000"/>
              <w:start w:val="single" w:sz="4" w:space="0" w:color="000000"/>
              <w:bottom w:val="single" w:sz="4" w:space="0" w:color="000000"/>
              <w:end w:val="single" w:sz="4" w:space="0" w:color="000000"/>
            </w:tcBorders>
          </w:tcPr>
          <w:p>
            <w:pPr>
              <w:pStyle w:val="Normal"/>
              <w:spacing w:lineRule="exact" w:line="320"/>
              <w:ind w:start="26" w:end="0"/>
              <w:jc w:val="center"/>
              <w:rPr/>
            </w:pPr>
            <w:r>
              <w:rPr>
                <w:i/>
                <w:iCs/>
                <w:sz w:val="24"/>
                <w:szCs w:val="24"/>
                <w:lang w:val="en-US"/>
              </w:rPr>
              <w:t>IMPACT ON OPENING SHAREHOLDERS' EQUITY</w:t>
            </w:r>
          </w:p>
          <w:p>
            <w:pPr>
              <w:pStyle w:val="Normal"/>
              <w:spacing w:lineRule="exact" w:line="320"/>
              <w:ind w:start="26" w:end="0"/>
              <w:jc w:val="center"/>
              <w:rPr>
                <w:i/>
                <w:i/>
                <w:iCs/>
                <w:sz w:val="24"/>
                <w:szCs w:val="24"/>
                <w:lang w:val="en-US"/>
              </w:rPr>
            </w:pPr>
            <w:r>
              <w:rPr>
                <w:i/>
                <w:iCs/>
                <w:sz w:val="24"/>
                <w:szCs w:val="24"/>
                <w:lang w:val="en-US"/>
              </w:rPr>
            </w:r>
          </w:p>
          <w:p>
            <w:pPr>
              <w:pStyle w:val="Normal"/>
              <w:spacing w:lineRule="exact" w:line="320"/>
              <w:ind w:hanging="357" w:start="799" w:end="0"/>
              <w:jc w:val="center"/>
              <w:rPr>
                <w:i/>
                <w:i/>
                <w:iCs/>
                <w:sz w:val="24"/>
                <w:szCs w:val="24"/>
                <w:lang w:val="en-US"/>
              </w:rPr>
            </w:pPr>
            <w:r>
              <w:rPr>
                <w:i/>
                <w:iCs/>
                <w:sz w:val="24"/>
                <w:szCs w:val="24"/>
                <w:lang w:val="en-US"/>
              </w:rPr>
              <w:t>in KCurrency</w:t>
            </w:r>
          </w:p>
        </w:tc>
        <w:tc>
          <w:tcPr>
            <w:tcW w:w="2063" w:type="dxa"/>
            <w:tcBorders>
              <w:top w:val="single" w:sz="4" w:space="0" w:color="000000"/>
              <w:start w:val="single" w:sz="4" w:space="0" w:color="000000"/>
              <w:bottom w:val="single" w:sz="4" w:space="0" w:color="000000"/>
              <w:end w:val="single" w:sz="4" w:space="0" w:color="000000"/>
            </w:tcBorders>
          </w:tcPr>
          <w:p>
            <w:pPr>
              <w:pStyle w:val="Normal"/>
              <w:spacing w:lineRule="exact" w:line="320"/>
              <w:ind w:firstLine="8" w:start="150" w:end="0"/>
              <w:jc w:val="center"/>
              <w:rPr>
                <w:i/>
                <w:i/>
                <w:iCs/>
                <w:sz w:val="24"/>
                <w:szCs w:val="24"/>
                <w:lang w:val="en-US"/>
              </w:rPr>
            </w:pPr>
            <w:r>
              <w:rPr>
                <w:i/>
                <w:iCs/>
                <w:sz w:val="24"/>
                <w:szCs w:val="24"/>
                <w:lang w:val="en-US"/>
              </w:rPr>
              <w:t>IMPACT ON INCOME STATEMENT FOR THE YEAR</w:t>
            </w:r>
          </w:p>
          <w:p>
            <w:pPr>
              <w:pStyle w:val="Normal"/>
              <w:spacing w:lineRule="exact" w:line="320"/>
              <w:ind w:firstLine="8" w:start="150" w:end="0"/>
              <w:jc w:val="center"/>
              <w:rPr>
                <w:i/>
                <w:i/>
                <w:iCs/>
                <w:sz w:val="24"/>
                <w:szCs w:val="24"/>
                <w:lang w:val="en-US"/>
              </w:rPr>
            </w:pPr>
            <w:r>
              <w:rPr>
                <w:i/>
                <w:iCs/>
                <w:sz w:val="24"/>
                <w:szCs w:val="24"/>
                <w:lang w:val="en-US"/>
              </w:rPr>
            </w:r>
          </w:p>
          <w:p>
            <w:pPr>
              <w:pStyle w:val="Normal"/>
              <w:spacing w:lineRule="exact" w:line="320"/>
              <w:ind w:hanging="357" w:start="799" w:end="0"/>
              <w:jc w:val="center"/>
              <w:rPr>
                <w:i/>
                <w:i/>
                <w:sz w:val="18"/>
                <w:szCs w:val="18"/>
              </w:rPr>
            </w:pPr>
            <w:r>
              <w:rPr>
                <w:i/>
                <w:iCs/>
                <w:sz w:val="24"/>
                <w:szCs w:val="24"/>
              </w:rPr>
              <w:t>in K Currency</w:t>
            </w:r>
          </w:p>
        </w:tc>
        <w:tc>
          <w:tcPr>
            <w:tcW w:w="2016" w:type="dxa"/>
            <w:tcBorders>
              <w:top w:val="single" w:sz="4" w:space="0" w:color="000000"/>
              <w:start w:val="single" w:sz="4" w:space="0" w:color="000000"/>
              <w:bottom w:val="single" w:sz="4" w:space="0" w:color="000000"/>
              <w:end w:val="single" w:sz="4" w:space="0" w:color="000000"/>
            </w:tcBorders>
          </w:tcPr>
          <w:p>
            <w:pPr>
              <w:pStyle w:val="Normal"/>
              <w:spacing w:lineRule="exact" w:line="320"/>
              <w:ind w:start="24" w:end="0"/>
              <w:jc w:val="center"/>
              <w:rPr>
                <w:i/>
                <w:i/>
                <w:iCs/>
                <w:sz w:val="24"/>
                <w:szCs w:val="24"/>
                <w:lang w:val="en-US"/>
              </w:rPr>
            </w:pPr>
            <w:r>
              <w:rPr>
                <w:i/>
                <w:iCs/>
                <w:sz w:val="24"/>
                <w:szCs w:val="24"/>
                <w:lang w:val="en-US"/>
              </w:rPr>
              <w:t>IMPACT ON CLOSING SHAREHOLDERS' EQUITY</w:t>
            </w:r>
          </w:p>
          <w:p>
            <w:pPr>
              <w:pStyle w:val="Normal"/>
              <w:spacing w:lineRule="exact" w:line="320"/>
              <w:ind w:start="24" w:end="0"/>
              <w:jc w:val="center"/>
              <w:rPr>
                <w:i/>
                <w:i/>
                <w:iCs/>
                <w:sz w:val="24"/>
                <w:szCs w:val="24"/>
                <w:lang w:val="en-US"/>
              </w:rPr>
            </w:pPr>
            <w:r>
              <w:rPr>
                <w:i/>
                <w:iCs/>
                <w:sz w:val="24"/>
                <w:szCs w:val="24"/>
                <w:lang w:val="en-US"/>
              </w:rPr>
            </w:r>
          </w:p>
          <w:p>
            <w:pPr>
              <w:pStyle w:val="Normal"/>
              <w:spacing w:lineRule="exact" w:line="320"/>
              <w:ind w:hanging="357" w:start="799" w:end="0"/>
              <w:jc w:val="center"/>
              <w:rPr>
                <w:i/>
                <w:i/>
                <w:iCs/>
                <w:sz w:val="18"/>
                <w:szCs w:val="18"/>
                <w:lang w:val="en-US"/>
              </w:rPr>
            </w:pPr>
            <w:r>
              <w:rPr>
                <w:i/>
                <w:iCs/>
                <w:sz w:val="24"/>
                <w:szCs w:val="24"/>
                <w:lang w:val="en-US"/>
              </w:rPr>
              <w:t>in K Currency</w:t>
            </w:r>
          </w:p>
        </w:tc>
      </w:tr>
      <w:tr>
        <w:trPr>
          <w:trHeight w:val="810" w:hRule="atLeast"/>
        </w:trPr>
        <w:tc>
          <w:tcPr>
            <w:tcW w:w="366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ind w:start="420" w:end="0"/>
              <w:rPr/>
            </w:pPr>
            <w:r>
              <w:rPr>
                <w:b/>
                <w:bCs/>
                <w:sz w:val="24"/>
                <w:szCs w:val="24"/>
                <w:lang w:val="en-US"/>
              </w:rPr>
              <w:t>Misstatements identified at the previous year closing</w:t>
            </w:r>
          </w:p>
        </w:tc>
        <w:tc>
          <w:tcPr>
            <w:tcW w:w="2018"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20"/>
              <w:ind w:hanging="357" w:start="799" w:end="0"/>
              <w:jc w:val="both"/>
              <w:rPr>
                <w:b/>
                <w:bCs/>
                <w:sz w:val="24"/>
                <w:szCs w:val="24"/>
                <w:lang w:val="en-US"/>
              </w:rPr>
            </w:pPr>
            <w:r>
              <w:rPr>
                <w:b/>
                <w:bCs/>
                <w:sz w:val="24"/>
                <w:szCs w:val="24"/>
                <w:lang w:val="en-US"/>
              </w:rPr>
            </w:r>
          </w:p>
        </w:tc>
        <w:tc>
          <w:tcPr>
            <w:tcW w:w="206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20"/>
              <w:ind w:hanging="357" w:start="799" w:end="0"/>
              <w:jc w:val="both"/>
              <w:rPr>
                <w:sz w:val="24"/>
                <w:szCs w:val="24"/>
                <w:lang w:val="en-US"/>
              </w:rPr>
            </w:pPr>
            <w:r>
              <w:rPr>
                <w:sz w:val="24"/>
                <w:szCs w:val="24"/>
                <w:lang w:val="en-US"/>
              </w:rPr>
            </w:r>
          </w:p>
        </w:tc>
        <w:tc>
          <w:tcPr>
            <w:tcW w:w="201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20"/>
              <w:ind w:hanging="357" w:start="799" w:end="0"/>
              <w:jc w:val="both"/>
              <w:rPr>
                <w:sz w:val="24"/>
                <w:szCs w:val="24"/>
                <w:lang w:val="en-US"/>
              </w:rPr>
            </w:pPr>
            <w:r>
              <w:rPr>
                <w:sz w:val="24"/>
                <w:szCs w:val="24"/>
                <w:lang w:val="en-US"/>
              </w:rPr>
            </w:r>
          </w:p>
        </w:tc>
      </w:tr>
      <w:tr>
        <w:trPr>
          <w:trHeight w:val="315" w:hRule="atLeast"/>
        </w:trPr>
        <w:tc>
          <w:tcPr>
            <w:tcW w:w="366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ind w:start="420" w:end="0"/>
              <w:rPr>
                <w:b/>
                <w:bCs/>
                <w:sz w:val="24"/>
                <w:szCs w:val="24"/>
              </w:rPr>
            </w:pPr>
            <w:r>
              <w:rPr>
                <w:i/>
                <w:iCs/>
                <w:sz w:val="24"/>
                <w:szCs w:val="24"/>
              </w:rPr>
              <w:t>-</w:t>
            </w:r>
          </w:p>
        </w:tc>
        <w:tc>
          <w:tcPr>
            <w:tcW w:w="2018"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20"/>
              <w:ind w:hanging="357" w:start="799" w:end="0"/>
              <w:jc w:val="both"/>
              <w:rPr>
                <w:b/>
                <w:bCs/>
                <w:sz w:val="24"/>
                <w:szCs w:val="24"/>
              </w:rPr>
            </w:pPr>
            <w:r>
              <w:rPr>
                <w:b/>
                <w:bCs/>
                <w:sz w:val="24"/>
                <w:szCs w:val="24"/>
              </w:rPr>
            </w:r>
          </w:p>
        </w:tc>
        <w:tc>
          <w:tcPr>
            <w:tcW w:w="206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20"/>
              <w:ind w:hanging="357" w:start="799" w:end="0"/>
              <w:jc w:val="both"/>
              <w:rPr>
                <w:sz w:val="24"/>
                <w:szCs w:val="24"/>
              </w:rPr>
            </w:pPr>
            <w:r>
              <w:rPr>
                <w:sz w:val="24"/>
                <w:szCs w:val="24"/>
              </w:rPr>
            </w:r>
          </w:p>
        </w:tc>
        <w:tc>
          <w:tcPr>
            <w:tcW w:w="201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20"/>
              <w:ind w:hanging="357" w:start="799" w:end="0"/>
              <w:jc w:val="both"/>
              <w:rPr>
                <w:sz w:val="24"/>
                <w:szCs w:val="24"/>
              </w:rPr>
            </w:pPr>
            <w:r>
              <w:rPr>
                <w:sz w:val="24"/>
                <w:szCs w:val="24"/>
              </w:rPr>
            </w:r>
          </w:p>
        </w:tc>
      </w:tr>
      <w:tr>
        <w:trPr>
          <w:trHeight w:val="225" w:hRule="atLeast"/>
        </w:trPr>
        <w:tc>
          <w:tcPr>
            <w:tcW w:w="366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ind w:start="420" w:end="0"/>
              <w:rPr>
                <w:i/>
                <w:i/>
                <w:iCs/>
                <w:sz w:val="24"/>
                <w:szCs w:val="24"/>
              </w:rPr>
            </w:pPr>
            <w:r>
              <w:rPr>
                <w:i/>
                <w:iCs/>
                <w:sz w:val="24"/>
                <w:szCs w:val="24"/>
              </w:rPr>
              <w:t>-</w:t>
            </w:r>
          </w:p>
        </w:tc>
        <w:tc>
          <w:tcPr>
            <w:tcW w:w="2018"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20"/>
              <w:ind w:hanging="357" w:start="799" w:end="0"/>
              <w:jc w:val="both"/>
              <w:rPr>
                <w:i/>
                <w:i/>
                <w:iCs/>
                <w:sz w:val="24"/>
                <w:szCs w:val="24"/>
              </w:rPr>
            </w:pPr>
            <w:r>
              <w:rPr>
                <w:i/>
                <w:iCs/>
                <w:sz w:val="24"/>
                <w:szCs w:val="24"/>
              </w:rPr>
            </w:r>
          </w:p>
        </w:tc>
        <w:tc>
          <w:tcPr>
            <w:tcW w:w="206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20"/>
              <w:ind w:hanging="357" w:start="799" w:end="0"/>
              <w:jc w:val="both"/>
              <w:rPr>
                <w:i/>
                <w:i/>
                <w:iCs/>
                <w:sz w:val="24"/>
                <w:szCs w:val="24"/>
              </w:rPr>
            </w:pPr>
            <w:r>
              <w:rPr>
                <w:i/>
                <w:iCs/>
                <w:sz w:val="24"/>
                <w:szCs w:val="24"/>
              </w:rPr>
            </w:r>
          </w:p>
        </w:tc>
        <w:tc>
          <w:tcPr>
            <w:tcW w:w="201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20"/>
              <w:ind w:hanging="357" w:start="799" w:end="0"/>
              <w:jc w:val="both"/>
              <w:rPr>
                <w:i/>
                <w:i/>
                <w:iCs/>
                <w:sz w:val="24"/>
                <w:szCs w:val="24"/>
              </w:rPr>
            </w:pPr>
            <w:r>
              <w:rPr>
                <w:i/>
                <w:iCs/>
                <w:sz w:val="24"/>
                <w:szCs w:val="24"/>
              </w:rPr>
            </w:r>
          </w:p>
        </w:tc>
      </w:tr>
      <w:tr>
        <w:trPr>
          <w:trHeight w:val="225" w:hRule="atLeast"/>
        </w:trPr>
        <w:tc>
          <w:tcPr>
            <w:tcW w:w="366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ind w:start="420" w:end="0"/>
              <w:rPr>
                <w:i/>
                <w:i/>
                <w:iCs/>
                <w:sz w:val="24"/>
                <w:szCs w:val="24"/>
              </w:rPr>
            </w:pPr>
            <w:r>
              <w:rPr>
                <w:i/>
                <w:iCs/>
                <w:sz w:val="24"/>
                <w:szCs w:val="24"/>
              </w:rPr>
              <w:t>-</w:t>
            </w:r>
          </w:p>
        </w:tc>
        <w:tc>
          <w:tcPr>
            <w:tcW w:w="2018"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20"/>
              <w:ind w:hanging="357" w:start="799" w:end="0"/>
              <w:jc w:val="both"/>
              <w:rPr>
                <w:i/>
                <w:i/>
                <w:iCs/>
                <w:sz w:val="24"/>
                <w:szCs w:val="24"/>
              </w:rPr>
            </w:pPr>
            <w:r>
              <w:rPr>
                <w:i/>
                <w:iCs/>
                <w:sz w:val="24"/>
                <w:szCs w:val="24"/>
              </w:rPr>
            </w:r>
          </w:p>
        </w:tc>
        <w:tc>
          <w:tcPr>
            <w:tcW w:w="206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20"/>
              <w:ind w:hanging="357" w:start="799" w:end="0"/>
              <w:jc w:val="both"/>
              <w:rPr>
                <w:i/>
                <w:i/>
                <w:iCs/>
                <w:sz w:val="24"/>
                <w:szCs w:val="24"/>
              </w:rPr>
            </w:pPr>
            <w:r>
              <w:rPr>
                <w:i/>
                <w:iCs/>
                <w:sz w:val="24"/>
                <w:szCs w:val="24"/>
              </w:rPr>
            </w:r>
          </w:p>
        </w:tc>
        <w:tc>
          <w:tcPr>
            <w:tcW w:w="201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20"/>
              <w:ind w:hanging="357" w:start="799" w:end="0"/>
              <w:jc w:val="both"/>
              <w:rPr>
                <w:i/>
                <w:i/>
                <w:iCs/>
                <w:sz w:val="24"/>
                <w:szCs w:val="24"/>
              </w:rPr>
            </w:pPr>
            <w:r>
              <w:rPr>
                <w:i/>
                <w:iCs/>
                <w:sz w:val="24"/>
                <w:szCs w:val="24"/>
              </w:rPr>
            </w:r>
          </w:p>
        </w:tc>
      </w:tr>
      <w:tr>
        <w:trPr>
          <w:trHeight w:val="225" w:hRule="atLeast"/>
        </w:trPr>
        <w:tc>
          <w:tcPr>
            <w:tcW w:w="366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ind w:start="420" w:end="0"/>
              <w:rPr>
                <w:i/>
                <w:i/>
                <w:iCs/>
                <w:sz w:val="24"/>
                <w:szCs w:val="24"/>
                <w:lang w:val="en-US"/>
              </w:rPr>
            </w:pPr>
            <w:r>
              <w:rPr>
                <w:b/>
                <w:bCs/>
                <w:sz w:val="24"/>
                <w:szCs w:val="24"/>
                <w:lang w:val="en-US"/>
              </w:rPr>
              <w:t>Misstatements identified during the year</w:t>
            </w:r>
          </w:p>
        </w:tc>
        <w:tc>
          <w:tcPr>
            <w:tcW w:w="2018"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20"/>
              <w:ind w:hanging="357" w:start="799" w:end="0"/>
              <w:jc w:val="both"/>
              <w:rPr>
                <w:i/>
                <w:i/>
                <w:iCs/>
                <w:sz w:val="24"/>
                <w:szCs w:val="24"/>
                <w:lang w:val="en-US"/>
              </w:rPr>
            </w:pPr>
            <w:r>
              <w:rPr>
                <w:i/>
                <w:iCs/>
                <w:sz w:val="24"/>
                <w:szCs w:val="24"/>
                <w:lang w:val="en-US"/>
              </w:rPr>
            </w:r>
          </w:p>
        </w:tc>
        <w:tc>
          <w:tcPr>
            <w:tcW w:w="206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20"/>
              <w:ind w:hanging="357" w:start="799" w:end="0"/>
              <w:jc w:val="both"/>
              <w:rPr>
                <w:i/>
                <w:i/>
                <w:iCs/>
                <w:sz w:val="24"/>
                <w:szCs w:val="24"/>
                <w:lang w:val="en-US"/>
              </w:rPr>
            </w:pPr>
            <w:r>
              <w:rPr>
                <w:i/>
                <w:iCs/>
                <w:sz w:val="24"/>
                <w:szCs w:val="24"/>
                <w:lang w:val="en-US"/>
              </w:rPr>
            </w:r>
          </w:p>
        </w:tc>
        <w:tc>
          <w:tcPr>
            <w:tcW w:w="201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20"/>
              <w:ind w:hanging="357" w:start="799" w:end="0"/>
              <w:jc w:val="both"/>
              <w:rPr>
                <w:i/>
                <w:i/>
                <w:iCs/>
                <w:sz w:val="24"/>
                <w:szCs w:val="24"/>
                <w:lang w:val="en-US"/>
              </w:rPr>
            </w:pPr>
            <w:r>
              <w:rPr>
                <w:i/>
                <w:iCs/>
                <w:sz w:val="24"/>
                <w:szCs w:val="24"/>
                <w:lang w:val="en-US"/>
              </w:rPr>
            </w:r>
          </w:p>
        </w:tc>
      </w:tr>
      <w:tr>
        <w:trPr>
          <w:trHeight w:val="225" w:hRule="atLeast"/>
        </w:trPr>
        <w:tc>
          <w:tcPr>
            <w:tcW w:w="366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ind w:start="420" w:end="0"/>
              <w:jc w:val="both"/>
              <w:rPr>
                <w:i/>
                <w:i/>
                <w:iCs/>
                <w:sz w:val="24"/>
                <w:szCs w:val="24"/>
              </w:rPr>
            </w:pPr>
            <w:r>
              <w:rPr>
                <w:i/>
                <w:iCs/>
                <w:sz w:val="24"/>
                <w:szCs w:val="24"/>
              </w:rPr>
              <w:t>-</w:t>
            </w:r>
          </w:p>
        </w:tc>
        <w:tc>
          <w:tcPr>
            <w:tcW w:w="2018"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20"/>
              <w:ind w:hanging="357" w:start="799" w:end="0"/>
              <w:jc w:val="both"/>
              <w:rPr>
                <w:i/>
                <w:i/>
                <w:iCs/>
                <w:sz w:val="24"/>
                <w:szCs w:val="24"/>
              </w:rPr>
            </w:pPr>
            <w:r>
              <w:rPr>
                <w:i/>
                <w:iCs/>
                <w:sz w:val="24"/>
                <w:szCs w:val="24"/>
              </w:rPr>
            </w:r>
          </w:p>
        </w:tc>
        <w:tc>
          <w:tcPr>
            <w:tcW w:w="206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20"/>
              <w:ind w:hanging="357" w:start="799" w:end="0"/>
              <w:jc w:val="both"/>
              <w:rPr>
                <w:i/>
                <w:i/>
                <w:iCs/>
                <w:sz w:val="24"/>
                <w:szCs w:val="24"/>
              </w:rPr>
            </w:pPr>
            <w:r>
              <w:rPr>
                <w:i/>
                <w:iCs/>
                <w:sz w:val="24"/>
                <w:szCs w:val="24"/>
              </w:rPr>
            </w:r>
          </w:p>
        </w:tc>
        <w:tc>
          <w:tcPr>
            <w:tcW w:w="201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20"/>
              <w:ind w:hanging="357" w:start="799" w:end="0"/>
              <w:jc w:val="both"/>
              <w:rPr>
                <w:i/>
                <w:i/>
                <w:iCs/>
                <w:sz w:val="24"/>
                <w:szCs w:val="24"/>
              </w:rPr>
            </w:pPr>
            <w:r>
              <w:rPr>
                <w:i/>
                <w:iCs/>
                <w:sz w:val="24"/>
                <w:szCs w:val="24"/>
              </w:rPr>
            </w:r>
          </w:p>
        </w:tc>
      </w:tr>
      <w:tr>
        <w:trPr>
          <w:trHeight w:val="225" w:hRule="atLeast"/>
        </w:trPr>
        <w:tc>
          <w:tcPr>
            <w:tcW w:w="366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ind w:start="420" w:end="0"/>
              <w:jc w:val="both"/>
              <w:rPr>
                <w:i/>
                <w:i/>
                <w:iCs/>
                <w:sz w:val="24"/>
                <w:szCs w:val="24"/>
              </w:rPr>
            </w:pPr>
            <w:r>
              <w:rPr>
                <w:i/>
                <w:iCs/>
                <w:sz w:val="24"/>
                <w:szCs w:val="24"/>
              </w:rPr>
              <w:t>-</w:t>
            </w:r>
          </w:p>
        </w:tc>
        <w:tc>
          <w:tcPr>
            <w:tcW w:w="2018"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20"/>
              <w:ind w:hanging="357" w:start="799" w:end="0"/>
              <w:jc w:val="both"/>
              <w:rPr>
                <w:i/>
                <w:i/>
                <w:iCs/>
                <w:sz w:val="24"/>
                <w:szCs w:val="24"/>
              </w:rPr>
            </w:pPr>
            <w:r>
              <w:rPr>
                <w:i/>
                <w:iCs/>
                <w:sz w:val="24"/>
                <w:szCs w:val="24"/>
              </w:rPr>
            </w:r>
          </w:p>
        </w:tc>
        <w:tc>
          <w:tcPr>
            <w:tcW w:w="206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20"/>
              <w:ind w:hanging="357" w:start="799" w:end="0"/>
              <w:jc w:val="both"/>
              <w:rPr>
                <w:i/>
                <w:i/>
                <w:iCs/>
                <w:sz w:val="24"/>
                <w:szCs w:val="24"/>
              </w:rPr>
            </w:pPr>
            <w:r>
              <w:rPr>
                <w:i/>
                <w:iCs/>
                <w:sz w:val="24"/>
                <w:szCs w:val="24"/>
              </w:rPr>
            </w:r>
          </w:p>
        </w:tc>
        <w:tc>
          <w:tcPr>
            <w:tcW w:w="201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20"/>
              <w:ind w:hanging="357" w:start="799" w:end="0"/>
              <w:jc w:val="both"/>
              <w:rPr>
                <w:i/>
                <w:i/>
                <w:iCs/>
                <w:sz w:val="24"/>
                <w:szCs w:val="24"/>
              </w:rPr>
            </w:pPr>
            <w:r>
              <w:rPr>
                <w:i/>
                <w:iCs/>
                <w:sz w:val="24"/>
                <w:szCs w:val="24"/>
              </w:rPr>
            </w:r>
          </w:p>
        </w:tc>
      </w:tr>
      <w:tr>
        <w:trPr>
          <w:trHeight w:val="225" w:hRule="atLeast"/>
        </w:trPr>
        <w:tc>
          <w:tcPr>
            <w:tcW w:w="366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ind w:start="420" w:end="0"/>
              <w:jc w:val="both"/>
              <w:rPr>
                <w:i/>
                <w:i/>
                <w:iCs/>
                <w:sz w:val="24"/>
                <w:szCs w:val="24"/>
              </w:rPr>
            </w:pPr>
            <w:r>
              <w:rPr>
                <w:i/>
                <w:iCs/>
                <w:sz w:val="24"/>
                <w:szCs w:val="24"/>
              </w:rPr>
              <w:t>-</w:t>
            </w:r>
          </w:p>
        </w:tc>
        <w:tc>
          <w:tcPr>
            <w:tcW w:w="2018"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20"/>
              <w:ind w:hanging="357" w:start="799" w:end="0"/>
              <w:jc w:val="both"/>
              <w:rPr>
                <w:i/>
                <w:i/>
                <w:iCs/>
                <w:sz w:val="24"/>
                <w:szCs w:val="24"/>
              </w:rPr>
            </w:pPr>
            <w:r>
              <w:rPr>
                <w:i/>
                <w:iCs/>
                <w:sz w:val="24"/>
                <w:szCs w:val="24"/>
              </w:rPr>
            </w:r>
          </w:p>
        </w:tc>
        <w:tc>
          <w:tcPr>
            <w:tcW w:w="206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20"/>
              <w:ind w:hanging="357" w:start="799" w:end="0"/>
              <w:jc w:val="both"/>
              <w:rPr>
                <w:i/>
                <w:i/>
                <w:iCs/>
                <w:sz w:val="24"/>
                <w:szCs w:val="24"/>
              </w:rPr>
            </w:pPr>
            <w:r>
              <w:rPr>
                <w:i/>
                <w:iCs/>
                <w:sz w:val="24"/>
                <w:szCs w:val="24"/>
              </w:rPr>
            </w:r>
          </w:p>
        </w:tc>
        <w:tc>
          <w:tcPr>
            <w:tcW w:w="201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20"/>
              <w:ind w:hanging="357" w:start="799" w:end="0"/>
              <w:jc w:val="both"/>
              <w:rPr>
                <w:i/>
                <w:i/>
                <w:iCs/>
                <w:sz w:val="24"/>
                <w:szCs w:val="24"/>
              </w:rPr>
            </w:pPr>
            <w:r>
              <w:rPr>
                <w:i/>
                <w:iCs/>
                <w:sz w:val="24"/>
                <w:szCs w:val="24"/>
              </w:rPr>
            </w:r>
          </w:p>
        </w:tc>
      </w:tr>
      <w:tr>
        <w:trPr>
          <w:trHeight w:val="225" w:hRule="atLeast"/>
        </w:trPr>
        <w:tc>
          <w:tcPr>
            <w:tcW w:w="366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ind w:start="420" w:end="0"/>
              <w:jc w:val="both"/>
              <w:rPr>
                <w:b/>
                <w:bCs/>
                <w:i/>
                <w:i/>
                <w:iCs/>
                <w:sz w:val="24"/>
                <w:szCs w:val="24"/>
              </w:rPr>
            </w:pPr>
            <w:r>
              <w:rPr>
                <w:b/>
                <w:bCs/>
                <w:i/>
                <w:iCs/>
                <w:sz w:val="24"/>
                <w:szCs w:val="24"/>
              </w:rPr>
              <w:t>Before-tax impact</w:t>
            </w:r>
          </w:p>
        </w:tc>
        <w:tc>
          <w:tcPr>
            <w:tcW w:w="2018"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20"/>
              <w:ind w:hanging="357" w:start="799" w:end="0"/>
              <w:jc w:val="both"/>
              <w:rPr>
                <w:b/>
                <w:bCs/>
                <w:i/>
                <w:i/>
                <w:iCs/>
                <w:sz w:val="24"/>
                <w:szCs w:val="24"/>
              </w:rPr>
            </w:pPr>
            <w:r>
              <w:rPr>
                <w:b/>
                <w:bCs/>
                <w:i/>
                <w:iCs/>
                <w:sz w:val="24"/>
                <w:szCs w:val="24"/>
              </w:rPr>
            </w:r>
          </w:p>
        </w:tc>
        <w:tc>
          <w:tcPr>
            <w:tcW w:w="2063"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ind w:hanging="357" w:start="799" w:end="0"/>
              <w:jc w:val="both"/>
              <w:rPr>
                <w:b/>
                <w:bCs/>
                <w:i/>
                <w:i/>
                <w:iCs/>
                <w:sz w:val="24"/>
                <w:szCs w:val="24"/>
              </w:rPr>
            </w:pPr>
            <w:r>
              <w:rPr>
                <w:b/>
                <w:bCs/>
                <w:i/>
                <w:iCs/>
                <w:sz w:val="24"/>
                <w:szCs w:val="24"/>
              </w:rPr>
              <w:t>-</w:t>
            </w:r>
          </w:p>
        </w:tc>
        <w:tc>
          <w:tcPr>
            <w:tcW w:w="201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20"/>
              <w:ind w:hanging="357" w:start="799" w:end="0"/>
              <w:jc w:val="both"/>
              <w:rPr>
                <w:b/>
                <w:bCs/>
                <w:i/>
                <w:i/>
                <w:iCs/>
                <w:sz w:val="24"/>
                <w:szCs w:val="24"/>
              </w:rPr>
            </w:pPr>
            <w:r>
              <w:rPr>
                <w:b/>
                <w:bCs/>
                <w:i/>
                <w:iCs/>
                <w:sz w:val="24"/>
                <w:szCs w:val="24"/>
              </w:rPr>
            </w:r>
          </w:p>
        </w:tc>
      </w:tr>
      <w:tr>
        <w:trPr>
          <w:trHeight w:val="240" w:hRule="atLeast"/>
        </w:trPr>
        <w:tc>
          <w:tcPr>
            <w:tcW w:w="366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ind w:start="420" w:end="0"/>
              <w:jc w:val="both"/>
              <w:rPr>
                <w:i/>
                <w:i/>
                <w:iCs/>
                <w:sz w:val="24"/>
                <w:szCs w:val="24"/>
              </w:rPr>
            </w:pPr>
            <w:r>
              <w:rPr>
                <w:i/>
                <w:iCs/>
                <w:sz w:val="24"/>
                <w:szCs w:val="24"/>
              </w:rPr>
              <w:t>Tax impact</w:t>
            </w:r>
          </w:p>
        </w:tc>
        <w:tc>
          <w:tcPr>
            <w:tcW w:w="2018"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20"/>
              <w:ind w:hanging="357" w:start="799" w:end="0"/>
              <w:jc w:val="both"/>
              <w:rPr>
                <w:i/>
                <w:i/>
                <w:iCs/>
                <w:sz w:val="24"/>
                <w:szCs w:val="24"/>
              </w:rPr>
            </w:pPr>
            <w:r>
              <w:rPr>
                <w:i/>
                <w:iCs/>
                <w:sz w:val="24"/>
                <w:szCs w:val="24"/>
              </w:rPr>
            </w:r>
          </w:p>
        </w:tc>
        <w:tc>
          <w:tcPr>
            <w:tcW w:w="206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20"/>
              <w:ind w:hanging="357" w:start="799" w:end="0"/>
              <w:jc w:val="both"/>
              <w:rPr>
                <w:i/>
                <w:i/>
                <w:iCs/>
                <w:sz w:val="24"/>
                <w:szCs w:val="24"/>
              </w:rPr>
            </w:pPr>
            <w:r>
              <w:rPr>
                <w:i/>
                <w:iCs/>
                <w:sz w:val="24"/>
                <w:szCs w:val="24"/>
              </w:rPr>
            </w:r>
          </w:p>
        </w:tc>
        <w:tc>
          <w:tcPr>
            <w:tcW w:w="201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20"/>
              <w:ind w:hanging="357" w:start="799" w:end="0"/>
              <w:jc w:val="both"/>
              <w:rPr>
                <w:i/>
                <w:i/>
                <w:iCs/>
                <w:sz w:val="24"/>
                <w:szCs w:val="24"/>
              </w:rPr>
            </w:pPr>
            <w:r>
              <w:rPr>
                <w:i/>
                <w:iCs/>
                <w:sz w:val="24"/>
                <w:szCs w:val="24"/>
              </w:rPr>
            </w:r>
          </w:p>
        </w:tc>
      </w:tr>
      <w:tr>
        <w:trPr>
          <w:trHeight w:val="225" w:hRule="atLeast"/>
        </w:trPr>
        <w:tc>
          <w:tcPr>
            <w:tcW w:w="366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ind w:start="420" w:end="0"/>
              <w:jc w:val="both"/>
              <w:rPr>
                <w:b/>
                <w:bCs/>
                <w:i/>
                <w:i/>
                <w:iCs/>
                <w:sz w:val="24"/>
                <w:szCs w:val="24"/>
              </w:rPr>
            </w:pPr>
            <w:r>
              <w:rPr>
                <w:b/>
                <w:bCs/>
                <w:i/>
                <w:iCs/>
                <w:sz w:val="24"/>
                <w:szCs w:val="24"/>
              </w:rPr>
              <w:t>After-tax impact</w:t>
            </w:r>
          </w:p>
        </w:tc>
        <w:tc>
          <w:tcPr>
            <w:tcW w:w="2018"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20"/>
              <w:ind w:hanging="357" w:start="799" w:end="0"/>
              <w:jc w:val="both"/>
              <w:rPr>
                <w:b/>
                <w:bCs/>
                <w:i/>
                <w:i/>
                <w:iCs/>
                <w:sz w:val="24"/>
                <w:szCs w:val="24"/>
              </w:rPr>
            </w:pPr>
            <w:r>
              <w:rPr>
                <w:b/>
                <w:bCs/>
                <w:i/>
                <w:iCs/>
                <w:sz w:val="24"/>
                <w:szCs w:val="24"/>
              </w:rPr>
            </w:r>
          </w:p>
        </w:tc>
        <w:tc>
          <w:tcPr>
            <w:tcW w:w="2063"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ind w:hanging="357" w:start="799" w:end="0"/>
              <w:jc w:val="both"/>
              <w:rPr>
                <w:b/>
                <w:bCs/>
                <w:i/>
                <w:i/>
                <w:iCs/>
                <w:sz w:val="24"/>
                <w:szCs w:val="24"/>
              </w:rPr>
            </w:pPr>
            <w:r>
              <w:rPr>
                <w:b/>
                <w:bCs/>
                <w:i/>
                <w:iCs/>
                <w:sz w:val="24"/>
                <w:szCs w:val="24"/>
              </w:rPr>
              <w:t>-</w:t>
            </w:r>
          </w:p>
        </w:tc>
        <w:tc>
          <w:tcPr>
            <w:tcW w:w="201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20"/>
              <w:ind w:hanging="357" w:start="799" w:end="0"/>
              <w:jc w:val="both"/>
              <w:rPr>
                <w:b/>
                <w:bCs/>
                <w:i/>
                <w:i/>
                <w:iCs/>
                <w:sz w:val="24"/>
                <w:szCs w:val="24"/>
              </w:rPr>
            </w:pPr>
            <w:r>
              <w:rPr>
                <w:b/>
                <w:bCs/>
                <w:i/>
                <w:iCs/>
                <w:sz w:val="24"/>
                <w:szCs w:val="24"/>
              </w:rPr>
            </w:r>
          </w:p>
        </w:tc>
      </w:tr>
      <w:tr>
        <w:trPr>
          <w:trHeight w:val="240" w:hRule="atLeast"/>
        </w:trPr>
        <w:tc>
          <w:tcPr>
            <w:tcW w:w="3669" w:type="dxa"/>
            <w:tcBorders>
              <w:top w:val="single" w:sz="4" w:space="0" w:color="000000"/>
            </w:tcBorders>
            <w:vAlign w:val="center"/>
          </w:tcPr>
          <w:p>
            <w:pPr>
              <w:pStyle w:val="Normal"/>
              <w:snapToGrid w:val="false"/>
              <w:spacing w:lineRule="exact" w:line="320"/>
              <w:ind w:start="420" w:end="0"/>
              <w:jc w:val="both"/>
              <w:rPr>
                <w:b/>
                <w:bCs/>
                <w:i/>
                <w:i/>
                <w:iCs/>
                <w:sz w:val="24"/>
                <w:szCs w:val="24"/>
              </w:rPr>
            </w:pPr>
            <w:r>
              <w:rPr>
                <w:b/>
                <w:bCs/>
                <w:i/>
                <w:iCs/>
                <w:sz w:val="24"/>
                <w:szCs w:val="24"/>
              </w:rPr>
            </w:r>
          </w:p>
        </w:tc>
        <w:tc>
          <w:tcPr>
            <w:tcW w:w="2018" w:type="dxa"/>
            <w:tcBorders>
              <w:top w:val="single" w:sz="4" w:space="0" w:color="000000"/>
            </w:tcBorders>
          </w:tcPr>
          <w:p>
            <w:pPr>
              <w:pStyle w:val="Normal"/>
              <w:snapToGrid w:val="false"/>
              <w:spacing w:lineRule="exact" w:line="320"/>
              <w:ind w:hanging="357" w:start="799" w:end="0"/>
              <w:jc w:val="both"/>
              <w:rPr>
                <w:sz w:val="24"/>
                <w:szCs w:val="24"/>
              </w:rPr>
            </w:pPr>
            <w:r>
              <w:rPr>
                <w:sz w:val="24"/>
                <w:szCs w:val="24"/>
              </w:rPr>
            </w:r>
          </w:p>
        </w:tc>
        <w:tc>
          <w:tcPr>
            <w:tcW w:w="2063" w:type="dxa"/>
            <w:tcBorders>
              <w:top w:val="single" w:sz="4" w:space="0" w:color="000000"/>
            </w:tcBorders>
            <w:vAlign w:val="center"/>
          </w:tcPr>
          <w:p>
            <w:pPr>
              <w:pStyle w:val="Normal"/>
              <w:snapToGrid w:val="false"/>
              <w:spacing w:lineRule="exact" w:line="320"/>
              <w:ind w:hanging="357" w:start="799" w:end="0"/>
              <w:jc w:val="both"/>
              <w:rPr>
                <w:sz w:val="24"/>
                <w:szCs w:val="24"/>
              </w:rPr>
            </w:pPr>
            <w:r>
              <w:rPr>
                <w:sz w:val="24"/>
                <w:szCs w:val="24"/>
              </w:rPr>
            </w:r>
          </w:p>
        </w:tc>
        <w:tc>
          <w:tcPr>
            <w:tcW w:w="2016" w:type="dxa"/>
            <w:tcBorders>
              <w:top w:val="single" w:sz="4" w:space="0" w:color="000000"/>
            </w:tcBorders>
          </w:tcPr>
          <w:p>
            <w:pPr>
              <w:pStyle w:val="Normal"/>
              <w:snapToGrid w:val="false"/>
              <w:spacing w:lineRule="exact" w:line="320"/>
              <w:ind w:hanging="357" w:start="799" w:end="0"/>
              <w:jc w:val="both"/>
              <w:rPr>
                <w:sz w:val="24"/>
                <w:szCs w:val="24"/>
              </w:rPr>
            </w:pPr>
            <w:r>
              <w:rPr>
                <w:sz w:val="24"/>
                <w:szCs w:val="24"/>
              </w:rPr>
            </w:r>
          </w:p>
        </w:tc>
      </w:tr>
      <w:tr>
        <w:trPr>
          <w:trHeight w:val="240" w:hRule="atLeast"/>
        </w:trPr>
        <w:tc>
          <w:tcPr>
            <w:tcW w:w="3669" w:type="dxa"/>
            <w:tcBorders>
              <w:bottom w:val="single" w:sz="8" w:space="0" w:color="000000"/>
            </w:tcBorders>
            <w:vAlign w:val="center"/>
          </w:tcPr>
          <w:p>
            <w:pPr>
              <w:pStyle w:val="Normal"/>
              <w:snapToGrid w:val="false"/>
              <w:spacing w:lineRule="exact" w:line="320"/>
              <w:ind w:start="420" w:end="0"/>
              <w:jc w:val="both"/>
              <w:rPr>
                <w:sz w:val="24"/>
                <w:szCs w:val="24"/>
              </w:rPr>
            </w:pPr>
            <w:r>
              <w:rPr>
                <w:sz w:val="24"/>
                <w:szCs w:val="24"/>
              </w:rPr>
            </w:r>
          </w:p>
        </w:tc>
        <w:tc>
          <w:tcPr>
            <w:tcW w:w="2018" w:type="dxa"/>
            <w:tcBorders>
              <w:bottom w:val="single" w:sz="8" w:space="0" w:color="000000"/>
            </w:tcBorders>
          </w:tcPr>
          <w:p>
            <w:pPr>
              <w:pStyle w:val="Normal"/>
              <w:snapToGrid w:val="false"/>
              <w:spacing w:lineRule="exact" w:line="320"/>
              <w:ind w:hanging="357" w:start="799" w:end="0"/>
              <w:jc w:val="both"/>
              <w:rPr>
                <w:sz w:val="24"/>
                <w:szCs w:val="24"/>
              </w:rPr>
            </w:pPr>
            <w:r>
              <w:rPr>
                <w:sz w:val="24"/>
                <w:szCs w:val="24"/>
              </w:rPr>
            </w:r>
          </w:p>
        </w:tc>
        <w:tc>
          <w:tcPr>
            <w:tcW w:w="2063" w:type="dxa"/>
            <w:tcBorders>
              <w:bottom w:val="single" w:sz="8" w:space="0" w:color="000000"/>
            </w:tcBorders>
            <w:vAlign w:val="center"/>
          </w:tcPr>
          <w:p>
            <w:pPr>
              <w:pStyle w:val="Normal"/>
              <w:snapToGrid w:val="false"/>
              <w:spacing w:lineRule="exact" w:line="320"/>
              <w:ind w:hanging="357" w:start="799" w:end="0"/>
              <w:jc w:val="both"/>
              <w:rPr>
                <w:sz w:val="24"/>
                <w:szCs w:val="24"/>
              </w:rPr>
            </w:pPr>
            <w:r>
              <w:rPr>
                <w:sz w:val="24"/>
                <w:szCs w:val="24"/>
              </w:rPr>
            </w:r>
          </w:p>
        </w:tc>
        <w:tc>
          <w:tcPr>
            <w:tcW w:w="2016" w:type="dxa"/>
            <w:tcBorders>
              <w:bottom w:val="single" w:sz="8" w:space="0" w:color="000000"/>
            </w:tcBorders>
          </w:tcPr>
          <w:p>
            <w:pPr>
              <w:pStyle w:val="Normal"/>
              <w:snapToGrid w:val="false"/>
              <w:spacing w:lineRule="exact" w:line="320"/>
              <w:ind w:hanging="357" w:start="799" w:end="0"/>
              <w:jc w:val="both"/>
              <w:rPr>
                <w:sz w:val="24"/>
                <w:szCs w:val="24"/>
              </w:rPr>
            </w:pPr>
            <w:r>
              <w:rPr>
                <w:sz w:val="24"/>
                <w:szCs w:val="24"/>
              </w:rPr>
            </w:r>
          </w:p>
        </w:tc>
      </w:tr>
    </w:tbl>
    <w:p>
      <w:pPr>
        <w:pStyle w:val="2"/>
        <w:spacing w:lineRule="exact" w:line="320"/>
        <w:ind w:hanging="357" w:start="799" w:end="0"/>
        <w:rPr>
          <w:b/>
          <w:bCs/>
          <w:sz w:val="24"/>
          <w:szCs w:val="24"/>
        </w:rPr>
      </w:pPr>
      <w:r>
        <w:rPr>
          <w:b/>
          <w:bCs/>
          <w:sz w:val="24"/>
          <w:szCs w:val="24"/>
        </w:rPr>
      </w:r>
      <w:r>
        <w:br w:type="page"/>
      </w:r>
    </w:p>
    <w:p>
      <w:pPr>
        <w:pStyle w:val="2"/>
        <w:spacing w:lineRule="exact" w:line="320"/>
        <w:ind w:hanging="357" w:start="799" w:end="0"/>
        <w:rPr>
          <w:b/>
          <w:bCs/>
          <w:sz w:val="24"/>
          <w:szCs w:val="24"/>
        </w:rPr>
      </w:pPr>
      <w:r>
        <w:rPr>
          <w:b/>
          <w:bCs/>
          <w:sz w:val="24"/>
          <w:szCs w:val="24"/>
        </w:rPr>
      </w:r>
    </w:p>
    <w:p>
      <w:pPr>
        <w:pStyle w:val="2"/>
        <w:spacing w:lineRule="exact" w:line="320"/>
        <w:ind w:hanging="357" w:start="799" w:end="0"/>
        <w:rPr>
          <w:b/>
          <w:bCs/>
          <w:sz w:val="24"/>
          <w:szCs w:val="24"/>
        </w:rPr>
      </w:pPr>
      <w:r>
        <w:rPr>
          <w:b/>
          <w:bCs/>
          <w:sz w:val="24"/>
          <w:szCs w:val="24"/>
        </w:rPr>
      </w:r>
    </w:p>
    <w:p>
      <w:pPr>
        <w:pStyle w:val="2"/>
        <w:spacing w:lineRule="exact" w:line="320"/>
        <w:ind w:firstLine="16" w:start="426" w:end="0"/>
        <w:rPr/>
      </w:pPr>
      <w:r>
        <w:rPr>
          <w:b/>
          <w:bCs/>
          <w:sz w:val="24"/>
          <w:szCs w:val="24"/>
          <w:lang w:val="en-US"/>
        </w:rPr>
        <w:t>Appendix B - LIST OF OTHER UNCORRECTED MISSTATEMENTS IMPACTING THE PRESENTATION OF THE CONSOLIDATED CONSOLIDATION PACKAGE OR THE NOTES TO THE CONSOLIDATED CONSOLIDATION PACKAGE (</w:t>
      </w:r>
      <w:r>
        <w:rPr>
          <w:b/>
          <w:bCs/>
          <w:i/>
          <w:iCs/>
          <w:sz w:val="24"/>
          <w:szCs w:val="24"/>
          <w:lang w:val="en-US"/>
        </w:rPr>
        <w:t>where applicable</w:t>
      </w:r>
      <w:r>
        <w:rPr>
          <w:b/>
          <w:bCs/>
          <w:sz w:val="24"/>
          <w:szCs w:val="24"/>
          <w:lang w:val="en-US"/>
        </w:rPr>
        <w:t>)</w:t>
      </w:r>
    </w:p>
    <w:p>
      <w:pPr>
        <w:pStyle w:val="Normal"/>
        <w:tabs>
          <w:tab w:val="clear" w:pos="708"/>
          <w:tab w:val="left" w:pos="-1440" w:leader="none"/>
          <w:tab w:val="left" w:pos="-720" w:leader="none"/>
          <w:tab w:val="left" w:pos="284" w:leader="none"/>
          <w:tab w:val="left" w:pos="331"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uppressAutoHyphens w:val="true"/>
        <w:spacing w:lineRule="exact" w:line="320"/>
        <w:ind w:hanging="357" w:start="799" w:end="0"/>
        <w:jc w:val="both"/>
        <w:rPr>
          <w:b/>
          <w:bCs/>
          <w:sz w:val="24"/>
          <w:szCs w:val="24"/>
          <w:lang w:val="en-US"/>
        </w:rPr>
      </w:pPr>
      <w:r>
        <w:rPr>
          <w:b/>
          <w:bCs/>
          <w:sz w:val="24"/>
          <w:szCs w:val="24"/>
          <w:lang w:val="en-US"/>
        </w:rPr>
      </w:r>
    </w:p>
    <w:p>
      <w:pPr>
        <w:pStyle w:val="lamarge"/>
        <w:numPr>
          <w:ilvl w:val="0"/>
          <w:numId w:val="0"/>
        </w:numPr>
        <w:spacing w:lineRule="exact" w:line="320"/>
        <w:ind w:hanging="73" w:start="799" w:end="0"/>
        <w:rPr/>
      </w:pPr>
      <w:r>
        <w:rPr>
          <w:b/>
          <w:szCs w:val="24"/>
          <w:lang w:val="en-US"/>
        </w:rPr>
        <w:t xml:space="preserve">- List the disclosure / presentation </w:t>
      </w:r>
      <w:r>
        <w:rPr>
          <w:b/>
          <w:szCs w:val="24"/>
        </w:rPr>
        <w:t>m</w:t>
      </w:r>
      <w:r>
        <w:rPr>
          <w:b/>
          <w:szCs w:val="24"/>
          <w:lang w:val="en-US"/>
        </w:rPr>
        <w:t>isstatements</w:t>
      </w:r>
    </w:p>
    <w:p>
      <w:pPr>
        <w:pStyle w:val="lamarge"/>
        <w:numPr>
          <w:ilvl w:val="0"/>
          <w:numId w:val="0"/>
        </w:numPr>
        <w:spacing w:lineRule="exact" w:line="320"/>
        <w:ind w:hanging="73" w:start="799" w:end="0"/>
        <w:rPr>
          <w:b/>
          <w:szCs w:val="24"/>
          <w:lang w:val="en-US"/>
        </w:rPr>
      </w:pPr>
      <w:r>
        <w:rPr>
          <w:b/>
          <w:szCs w:val="24"/>
          <w:lang w:val="en-US"/>
        </w:rPr>
      </w:r>
    </w:p>
    <w:p>
      <w:pPr>
        <w:pStyle w:val="lamarge"/>
        <w:numPr>
          <w:ilvl w:val="0"/>
          <w:numId w:val="0"/>
        </w:numPr>
        <w:spacing w:lineRule="exact" w:line="320"/>
        <w:ind w:hanging="73" w:start="799" w:end="0"/>
        <w:rPr>
          <w:lang w:val="en-US"/>
        </w:rPr>
      </w:pPr>
      <w:r>
        <w:rPr>
          <w:lang w:val="en-US"/>
        </w:rPr>
      </w:r>
    </w:p>
    <w:p>
      <w:pPr>
        <w:pStyle w:val="lamarge"/>
        <w:numPr>
          <w:ilvl w:val="0"/>
          <w:numId w:val="0"/>
        </w:numPr>
        <w:spacing w:lineRule="exact" w:line="320"/>
        <w:ind w:hanging="73" w:start="799" w:end="0"/>
        <w:rPr>
          <w:lang w:val="en-US"/>
        </w:rPr>
      </w:pPr>
      <w:r>
        <w:rPr>
          <w:lang w:val="en-US"/>
        </w:rPr>
      </w:r>
    </w:p>
    <w:p>
      <w:pPr>
        <w:pStyle w:val="lamarge"/>
        <w:numPr>
          <w:ilvl w:val="0"/>
          <w:numId w:val="0"/>
        </w:numPr>
        <w:spacing w:lineRule="exact" w:line="320"/>
        <w:ind w:hanging="73" w:start="799" w:end="0"/>
        <w:rPr>
          <w:lang w:val="en-US"/>
        </w:rPr>
      </w:pPr>
      <w:r>
        <w:rPr>
          <w:lang w:val="en-US"/>
        </w:rPr>
      </w:r>
    </w:p>
    <w:p>
      <w:pPr>
        <w:pStyle w:val="lamarge"/>
        <w:numPr>
          <w:ilvl w:val="0"/>
          <w:numId w:val="0"/>
        </w:numPr>
        <w:spacing w:lineRule="exact" w:line="320"/>
        <w:ind w:hanging="73" w:start="799" w:end="0"/>
        <w:rPr>
          <w:lang w:val="en-US"/>
        </w:rPr>
      </w:pPr>
      <w:r>
        <w:rPr>
          <w:lang w:val="en-US"/>
        </w:rPr>
      </w:r>
    </w:p>
    <w:p>
      <w:pPr>
        <w:pStyle w:val="lamarge"/>
        <w:numPr>
          <w:ilvl w:val="0"/>
          <w:numId w:val="0"/>
        </w:numPr>
        <w:spacing w:lineRule="exact" w:line="320"/>
        <w:ind w:hanging="73" w:start="799" w:end="0"/>
        <w:rPr>
          <w:lang w:val="en-US"/>
        </w:rPr>
      </w:pPr>
      <w:r>
        <w:rPr>
          <w:lang w:val="en-US"/>
        </w:rPr>
      </w:r>
    </w:p>
    <w:p>
      <w:pPr>
        <w:pStyle w:val="lamarge"/>
        <w:numPr>
          <w:ilvl w:val="0"/>
          <w:numId w:val="0"/>
        </w:numPr>
        <w:spacing w:lineRule="exact" w:line="320"/>
        <w:ind w:hanging="73" w:start="799" w:end="0"/>
        <w:rPr>
          <w:lang w:val="en-US"/>
        </w:rPr>
      </w:pPr>
      <w:r>
        <w:rPr>
          <w:lang w:val="en-US"/>
        </w:rPr>
      </w:r>
    </w:p>
    <w:p>
      <w:pPr>
        <w:pStyle w:val="Normal"/>
        <w:spacing w:lineRule="exact" w:line="320"/>
        <w:jc w:val="both"/>
        <w:rPr>
          <w:lang w:val="en-US"/>
        </w:rPr>
      </w:pPr>
      <w:r>
        <w:rPr>
          <w:lang w:val="en-US"/>
        </w:rPr>
      </w:r>
    </w:p>
    <w:sectPr>
      <w:headerReference w:type="default" r:id="rId2"/>
      <w:footerReference w:type="default" r:id="rId3"/>
      <w:type w:val="nextPage"/>
      <w:pgSz w:w="11906" w:h="16838"/>
      <w:pgMar w:left="1134" w:right="1134" w:gutter="0" w:header="851" w:top="1588" w:footer="567"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iso-8859-1"/>
    <w:family w:val="swiss"/>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6</w:t>
    </w:r>
    <w:r>
      <w:rPr/>
      <w:fldChar w:fldCharType="end"/>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Kheading2Append2"/>
      <w:widowControl w:val="false"/>
      <w:shd w:fill="FFFFFF" w:val="clear"/>
      <w:jc w:val="end"/>
      <w:rPr>
        <w:rFonts w:ascii="Times New Roman" w:hAnsi="Times New Roman" w:cs="Times New Roman"/>
        <w:sz w:val="24"/>
        <w:lang w:val="fr-FR"/>
      </w:rPr>
    </w:pPr>
    <w:r>
      <w:rPr>
        <w:rFonts w:cs="Times New Roman" w:ascii="Times New Roman" w:hAnsi="Times New Roman"/>
        <w:sz w:val="24"/>
        <w:lang w:val="fr-FR" w:eastAsia="en-US"/>
      </w:rPr>
      <w:drawing>
        <wp:inline distT="0" distB="0" distL="0" distR="0">
          <wp:extent cx="1292225" cy="69469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1"/>
                  <a:srcRect l="-28" t="-52" r="-28" b="-52"/>
                  <a:stretch>
                    <a:fillRect/>
                  </a:stretch>
                </pic:blipFill>
                <pic:spPr bwMode="auto">
                  <a:xfrm>
                    <a:off x="0" y="0"/>
                    <a:ext cx="1292225" cy="694690"/>
                  </a:xfrm>
                  <a:prstGeom prst="rect">
                    <a:avLst/>
                  </a:prstGeom>
                </pic:spPr>
              </pic:pic>
            </a:graphicData>
          </a:graphic>
        </wp:inline>
      </w:drawing>
    </w:r>
  </w:p>
  <w:p>
    <w:pPr>
      <w:pStyle w:val="Kheading2Append2"/>
      <w:widowControl w:val="false"/>
      <w:shd w:fill="FFFFFF" w:val="clear"/>
      <w:rPr/>
    </w:pPr>
    <w:r>
      <w:rPr>
        <w:rFonts w:cs="Times New Roman" w:ascii="Times New Roman" w:hAnsi="Times New Roman"/>
        <w:sz w:val="24"/>
        <w:lang w:val="fr-FR"/>
      </w:rPr>
      <w:t>Instructions - Appendix E</w:t>
      <w:tab/>
      <w:tab/>
      <w:tab/>
      <w:tab/>
      <w:t>Management Representation Letter</w:t>
    </w:r>
  </w:p>
  <w:p>
    <w:pPr>
      <w:pStyle w:val="Header"/>
      <w:rPr>
        <w:rFonts w:ascii="Times New Roman" w:hAnsi="Times New Roman" w:cs="Times New Roman"/>
        <w:sz w:val="24"/>
        <w:lang w:val="fr-FR"/>
      </w:rPr>
    </w:pPr>
    <w:r>
      <w:rPr>
        <w:rFonts w:cs="Times New Roman"/>
        <w:sz w:val="24"/>
        <w:lang w:val="fr-F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360"/>
        </w:tabs>
        <w:ind w:start="360" w:hanging="360"/>
      </w:pPr>
      <w:rPr>
        <w:i w:val="false"/>
        <w:b w:val="false"/>
        <w:rFonts w:cs="Times New Roman"/>
      </w:rPr>
    </w:lvl>
  </w:abstractNum>
  <w:abstractNum w:abstractNumId="3">
    <w:lvl w:ilvl="0">
      <w:start w:val="1"/>
      <w:numFmt w:val="bullet"/>
      <w:lvlText w:val=""/>
      <w:lvlJc w:val="start"/>
      <w:pPr>
        <w:tabs>
          <w:tab w:val="num" w:pos="502"/>
        </w:tabs>
        <w:ind w:start="426" w:hanging="284"/>
      </w:pPr>
      <w:rPr>
        <w:rFonts w:ascii="Times New Roman" w:hAnsi="Times New Roman" w:cs="Times New Roman" w:hint="default"/>
        <w:smallCaps w:val="false"/>
        <w:caps w:val="false"/>
        <w:outline w:val="false"/>
        <w:dstrike w:val="false"/>
        <w:strike w:val="false"/>
        <w:vertAlign w:val="baseline"/>
        <w:position w:val="0"/>
        <w:sz w:val="22"/>
        <w:sz w:val="22"/>
        <w:spacing w:val="0"/>
        <w:i/>
        <w:shadow w:val="false"/>
        <w:u w:val="none"/>
        <w:b w:val="false"/>
        <w:kern w:val="0"/>
        <w:w w:val="100"/>
        <w:color w:val="000000"/>
      </w:rPr>
    </w:lvl>
  </w:abstractNum>
  <w:abstractNum w:abstractNumId="4">
    <w:lvl w:ilvl="0">
      <w:start w:val="1"/>
      <w:numFmt w:val="decimal"/>
      <w:lvlText w:val="%1."/>
      <w:lvlJc w:val="start"/>
      <w:pPr>
        <w:tabs>
          <w:tab w:val="num" w:pos="720"/>
        </w:tabs>
        <w:ind w:start="720" w:hanging="360"/>
      </w:pPr>
      <w:rPr>
        <w:i w:val="false"/>
        <w:iCs w:val="false"/>
        <w:rFonts w:cs="Times New Roman"/>
      </w:rPr>
    </w:lvl>
  </w:abstractNum>
  <w:abstractNum w:abstractNumId="5">
    <w:lvl w:ilvl="0">
      <w:start w:val="1"/>
      <w:numFmt w:val="decimal"/>
      <w:lvlText w:val="•%1"/>
      <w:lvlJc w:val="start"/>
      <w:pPr>
        <w:tabs>
          <w:tab w:val="num" w:pos="283"/>
        </w:tabs>
        <w:ind w:start="283" w:hanging="283"/>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283"/>
        </w:tabs>
        <w:ind w:start="283" w:hanging="283"/>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8"/>
  <w:autoHyphenation w:val="true"/>
  <w:compat>
    <w:doNotExpandShiftReturn/>
    <w:usePrinterMetrics/>
    <w:doNotBreakWrappedTables/>
    <w:compatSetting w:name="compatibilityMode" w:uri="http://schemas.microsoft.com/office/word" w:val="11"/>
  </w:compat>
  <w:docVars>
    <w:docVar w:name="AS2DocOpenMode" w:val="AS2DocumentEdit"/>
    <w:docVar w:name="OffIni" w:val="KFROFF.INI.XML"/>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Times New Roman" w:hAnsi="Times New Roman" w:eastAsia="맑은 고딕" w:cs="Times New Roman"/>
      <w:color w:val="auto"/>
      <w:sz w:val="20"/>
      <w:szCs w:val="20"/>
      <w:lang w:val="fr-FR" w:bidi="ar-SA" w:eastAsia="zh-CN"/>
    </w:rPr>
  </w:style>
  <w:style w:type="paragraph" w:styleId="Heading1">
    <w:name w:val="Heading 1"/>
    <w:basedOn w:val="Normal"/>
    <w:next w:val="Normal"/>
    <w:qFormat/>
    <w:pPr>
      <w:keepNext w:val="true"/>
      <w:numPr>
        <w:ilvl w:val="0"/>
        <w:numId w:val="1"/>
      </w:numPr>
      <w:tabs>
        <w:tab w:val="clear" w:pos="708"/>
        <w:tab w:val="left" w:pos="-1440" w:leader="none"/>
        <w:tab w:val="left" w:pos="-720" w:leader="none"/>
        <w:tab w:val="left" w:pos="-567" w:leader="none"/>
        <w:tab w:val="left" w:pos="331"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uppressAutoHyphens w:val="true"/>
      <w:ind w:hanging="425" w:start="-142" w:end="0"/>
      <w:outlineLvl w:val="0"/>
    </w:pPr>
    <w:rPr>
      <w:spacing w:val="-2"/>
      <w:sz w:val="24"/>
    </w:rPr>
  </w:style>
  <w:style w:type="paragraph" w:styleId="Heading2">
    <w:name w:val="Heading 2"/>
    <w:basedOn w:val="Normal"/>
    <w:next w:val="Normal"/>
    <w:qFormat/>
    <w:pPr>
      <w:keepNext w:val="true"/>
      <w:widowControl w:val="false"/>
      <w:numPr>
        <w:ilvl w:val="1"/>
        <w:numId w:val="1"/>
      </w:numPr>
      <w:tabs>
        <w:tab w:val="clear" w:pos="708"/>
        <w:tab w:val="left" w:pos="-720" w:leader="none"/>
      </w:tabs>
      <w:suppressAutoHyphens w:val="true"/>
      <w:overflowPunct w:val="true"/>
      <w:autoSpaceDE w:val="true"/>
      <w:jc w:val="both"/>
      <w:textAlignment w:val="auto"/>
      <w:outlineLvl w:val="1"/>
    </w:pPr>
    <w:rPr>
      <w:i/>
      <w:spacing w:val="-2"/>
      <w:sz w:val="24"/>
    </w:rPr>
  </w:style>
  <w:style w:type="character" w:styleId="WW8Num1z0">
    <w:name w:val="WW8Num1z0"/>
    <w:qFormat/>
    <w:rPr>
      <w:b/>
      <w:i w:val="false"/>
    </w:rPr>
  </w:style>
  <w:style w:type="character" w:styleId="WW8Num2z0">
    <w:name w:val="WW8Num2z0"/>
    <w:qFormat/>
    <w:rPr>
      <w:rFonts w:cs="Times New Roman"/>
      <w:b w:val="false"/>
      <w:i w:val="false"/>
    </w:rPr>
  </w:style>
  <w:style w:type="character" w:styleId="WW8Num2z1">
    <w:name w:val="WW8Num2z1"/>
    <w:qFormat/>
    <w:rPr>
      <w:rFonts w:cs="Times New Roman"/>
    </w:rPr>
  </w:style>
  <w:style w:type="character" w:styleId="WW8Num3z0">
    <w:name w:val="WW8Num3z0"/>
    <w:qFormat/>
    <w:rPr>
      <w:b/>
    </w:rPr>
  </w:style>
  <w:style w:type="character" w:styleId="WW8Num4z0">
    <w:name w:val="WW8Num4z0"/>
    <w:qFormat/>
    <w:rPr>
      <w:rFonts w:ascii="Times New Roman" w:hAnsi="Times New Roman" w:cs="Times New Roman"/>
      <w:b w:val="false"/>
      <w:i/>
      <w:caps w:val="false"/>
      <w:smallCaps w:val="false"/>
      <w:strike w:val="false"/>
      <w:dstrike w:val="false"/>
      <w:outline w:val="false"/>
      <w:shadow w:val="false"/>
      <w:color w:val="000000"/>
      <w:spacing w:val="0"/>
      <w:w w:val="100"/>
      <w:kern w:val="0"/>
      <w:position w:val="0"/>
      <w:sz w:val="22"/>
      <w:sz w:val="22"/>
      <w:u w:val="none"/>
      <w:vertAlign w:val="baseline"/>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b/>
    </w:rPr>
  </w:style>
  <w:style w:type="character" w:styleId="WW8Num6z0">
    <w:name w:val="WW8Num6z0"/>
    <w:qFormat/>
    <w:rPr>
      <w:rFonts w:cs="Times New Roman"/>
      <w:i w:val="false"/>
      <w:iCs w:val="false"/>
    </w:rPr>
  </w:style>
  <w:style w:type="character" w:styleId="WW8Num6z1">
    <w:name w:val="WW8Num6z1"/>
    <w:qFormat/>
    <w:rPr>
      <w:rFonts w:cs="Times New Roman"/>
    </w:rPr>
  </w:style>
  <w:style w:type="character" w:styleId="WW8Num7z0">
    <w:name w:val="WW8Num7z0"/>
    <w:qFormat/>
    <w:rPr>
      <w:rFonts w:ascii="Symbol" w:hAnsi="Symbol" w:cs="Symbol"/>
      <w:sz w:val="20"/>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rFonts w:ascii="Times New Roman" w:hAnsi="Times New Roman" w:eastAsia="Times New Roman" w:cs="Times New Roman"/>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9z0">
    <w:name w:val="WW8Num9z0"/>
    <w:qFormat/>
    <w:rPr>
      <w:rFonts w:cs="Times New Roman"/>
    </w:rPr>
  </w:style>
  <w:style w:type="character" w:styleId="WW8Num10z0">
    <w:name w:val="WW8Num10z0"/>
    <w:qFormat/>
    <w:rPr>
      <w:rFonts w:cs="Times New Roman"/>
      <w:b w:val="false"/>
      <w:i w:val="false"/>
    </w:rPr>
  </w:style>
  <w:style w:type="character" w:styleId="WW8Num11z0">
    <w:name w:val="WW8Num11z0"/>
    <w:qFormat/>
    <w:rPr>
      <w:rFonts w:ascii="Times New Roman" w:hAnsi="Times New Roman" w:eastAsia="Times New Roman" w:cs="Times New Roman"/>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rFonts w:cs="Times New Roman"/>
    </w:rPr>
  </w:style>
  <w:style w:type="character" w:styleId="Style12">
    <w:name w:val="기본 단락 글꼴"/>
    <w:qFormat/>
    <w:rPr/>
  </w:style>
  <w:style w:type="character" w:styleId="FootnoteCharacters">
    <w:name w:val="Footnote Characters"/>
    <w:qFormat/>
    <w:rPr>
      <w:rFonts w:cs="Times New Roman"/>
      <w:sz w:val="16"/>
      <w:vertAlign w:val="superscript"/>
    </w:rPr>
  </w:style>
  <w:style w:type="character" w:styleId="PageNumber">
    <w:name w:val="Page Number"/>
    <w:rPr>
      <w:rFonts w:cs="Times New Roman"/>
    </w:rPr>
  </w:style>
  <w:style w:type="character" w:styleId="Style13">
    <w:name w:val="메모 참조"/>
    <w:qFormat/>
    <w:rPr>
      <w:rFonts w:cs="Times New Roman"/>
      <w:sz w:val="16"/>
      <w:szCs w:val="16"/>
    </w:rPr>
  </w:style>
  <w:style w:type="character" w:styleId="Char">
    <w:name w:val="바닥글 Char"/>
    <w:qFormat/>
    <w:rPr>
      <w:rFonts w:cs="Times New Roman"/>
      <w:sz w:val="24"/>
      <w:lang w:val="en-US"/>
    </w:rPr>
  </w:style>
  <w:style w:type="character" w:styleId="Char1">
    <w:name w:val="머리글 Char"/>
    <w:qFormat/>
    <w:rPr>
      <w:rFonts w:cs="Times New Roman"/>
      <w:sz w:val="24"/>
      <w:lang w:val="en-US"/>
    </w:rPr>
  </w:style>
  <w:style w:type="character" w:styleId="Kheading2Append2Char">
    <w:name w:val="Kheading2 Append 2 Char"/>
    <w:qFormat/>
    <w:rPr>
      <w:rFonts w:ascii="Arial" w:hAnsi="Arial" w:eastAsia="Calibri" w:cs="Arial"/>
      <w:b/>
      <w:sz w:val="28"/>
      <w:szCs w:val="24"/>
      <w:lang w:val="en-US" w:bidi="ar-SA"/>
    </w:rPr>
  </w:style>
  <w:style w:type="character" w:styleId="HeaderChar">
    <w:name w:val="Header Char"/>
    <w:qFormat/>
    <w:rPr>
      <w:rFonts w:ascii="Times New Roman" w:hAnsi="Times New Roman" w:cs="Times New Roman"/>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exact" w:line="320"/>
    </w:pPr>
    <w:rPr>
      <w:sz w:val="24"/>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252" w:leader="none"/>
        <w:tab w:val="right" w:pos="8504" w:leader="none"/>
      </w:tabs>
      <w:spacing w:lineRule="exact" w:line="360"/>
      <w:jc w:val="both"/>
    </w:pPr>
    <w:rPr>
      <w:sz w:val="24"/>
      <w:lang w:val="en-US"/>
    </w:rPr>
  </w:style>
  <w:style w:type="paragraph" w:styleId="FootnoteText">
    <w:name w:val="Footnote Text"/>
    <w:basedOn w:val="Normal"/>
    <w:next w:val="Normal"/>
    <w:pPr>
      <w:spacing w:lineRule="exact" w:line="240"/>
      <w:ind w:hanging="284" w:start="1135" w:end="851"/>
      <w:jc w:val="both"/>
    </w:pPr>
    <w:rPr/>
  </w:style>
  <w:style w:type="paragraph" w:styleId="lamarge">
    <w:name w:val="• à la marge"/>
    <w:basedOn w:val="Normal"/>
    <w:qFormat/>
    <w:pPr>
      <w:numPr>
        <w:ilvl w:val="0"/>
        <w:numId w:val="5"/>
      </w:numPr>
      <w:spacing w:lineRule="exact" w:line="360"/>
      <w:ind w:hanging="284" w:start="284" w:end="0"/>
      <w:jc w:val="both"/>
    </w:pPr>
    <w:rPr>
      <w:sz w:val="24"/>
    </w:rPr>
  </w:style>
  <w:style w:type="paragraph" w:styleId="Header">
    <w:name w:val="Header"/>
    <w:basedOn w:val="Normal"/>
    <w:pPr>
      <w:tabs>
        <w:tab w:val="clear" w:pos="708"/>
        <w:tab w:val="center" w:pos="4536" w:leader="none"/>
        <w:tab w:val="right" w:pos="9072" w:leader="none"/>
      </w:tabs>
      <w:spacing w:lineRule="exact" w:line="360"/>
      <w:jc w:val="both"/>
    </w:pPr>
    <w:rPr>
      <w:sz w:val="24"/>
      <w:lang w:val="en-US"/>
    </w:rPr>
  </w:style>
  <w:style w:type="paragraph" w:styleId="-lamarge">
    <w:name w:val="- à la marge"/>
    <w:basedOn w:val="lamarge"/>
    <w:qFormat/>
    <w:pPr>
      <w:numPr>
        <w:ilvl w:val="0"/>
        <w:numId w:val="6"/>
      </w:numPr>
    </w:pPr>
    <w:rPr/>
  </w:style>
  <w:style w:type="paragraph" w:styleId="2">
    <w:name w:val="본문 들여쓰기 2"/>
    <w:basedOn w:val="Normal"/>
    <w:qFormat/>
    <w:pPr>
      <w:widowControl w:val="false"/>
      <w:tabs>
        <w:tab w:val="clear" w:pos="708"/>
        <w:tab w:val="left" w:pos="-1440" w:leader="none"/>
        <w:tab w:val="left" w:pos="-720" w:leader="none"/>
        <w:tab w:val="left" w:pos="0" w:leader="none"/>
        <w:tab w:val="left" w:pos="331"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uppressAutoHyphens w:val="true"/>
      <w:overflowPunct w:val="true"/>
      <w:autoSpaceDE w:val="true"/>
      <w:ind w:hanging="720" w:start="0" w:end="0"/>
      <w:jc w:val="both"/>
      <w:textAlignment w:val="auto"/>
    </w:pPr>
    <w:rPr>
      <w:spacing w:val="-2"/>
      <w:sz w:val="22"/>
    </w:rPr>
  </w:style>
  <w:style w:type="paragraph" w:styleId="BodyTextIndent">
    <w:name w:val="Body Text Indent"/>
    <w:basedOn w:val="Normal"/>
    <w:pPr>
      <w:spacing w:lineRule="exact" w:line="320"/>
      <w:ind w:hanging="0" w:start="720" w:end="0"/>
      <w:jc w:val="both"/>
    </w:pPr>
    <w:rPr>
      <w:i/>
      <w:iCs/>
      <w:sz w:val="24"/>
    </w:rPr>
  </w:style>
  <w:style w:type="paragraph" w:styleId="Style14">
    <w:name w:val="풍선 도움말 텍스트"/>
    <w:basedOn w:val="Normal"/>
    <w:qFormat/>
    <w:pPr/>
    <w:rPr>
      <w:rFonts w:ascii="Tahoma" w:hAnsi="Tahoma" w:cs="Tahoma"/>
      <w:sz w:val="16"/>
      <w:szCs w:val="16"/>
    </w:rPr>
  </w:style>
  <w:style w:type="paragraph" w:styleId="1PARAG">
    <w:name w:val="1. PARAG"/>
    <w:basedOn w:val="Normal"/>
    <w:qFormat/>
    <w:pPr>
      <w:widowControl w:val="false"/>
      <w:numPr>
        <w:ilvl w:val="0"/>
        <w:numId w:val="4"/>
      </w:numPr>
      <w:tabs>
        <w:tab w:val="clear" w:pos="708"/>
        <w:tab w:val="left" w:pos="-1440" w:leader="none"/>
        <w:tab w:val="left" w:pos="426" w:leader="none"/>
      </w:tabs>
      <w:suppressAutoHyphens w:val="true"/>
      <w:overflowPunct w:val="true"/>
      <w:autoSpaceDE w:val="true"/>
      <w:jc w:val="both"/>
      <w:textAlignment w:val="auto"/>
    </w:pPr>
    <w:rPr>
      <w:spacing w:val="-2"/>
      <w:sz w:val="24"/>
      <w:szCs w:val="24"/>
    </w:rPr>
  </w:style>
  <w:style w:type="paragraph" w:styleId="3">
    <w:name w:val="본문 3"/>
    <w:basedOn w:val="Normal"/>
    <w:qFormat/>
    <w:pPr>
      <w:spacing w:before="0" w:after="120"/>
    </w:pPr>
    <w:rPr>
      <w:sz w:val="16"/>
      <w:szCs w:val="16"/>
    </w:rPr>
  </w:style>
  <w:style w:type="paragraph" w:styleId="EndnoteText">
    <w:name w:val="Endnote Text"/>
    <w:basedOn w:val="Normal"/>
    <w:pPr>
      <w:widowControl w:val="false"/>
      <w:overflowPunct w:val="true"/>
      <w:autoSpaceDE w:val="true"/>
      <w:jc w:val="both"/>
      <w:textAlignment w:val="auto"/>
    </w:pPr>
    <w:rPr>
      <w:sz w:val="24"/>
      <w:szCs w:val="24"/>
    </w:rPr>
  </w:style>
  <w:style w:type="paragraph" w:styleId="Style15">
    <w:name w:val="메모 텍스트"/>
    <w:basedOn w:val="Normal"/>
    <w:qFormat/>
    <w:pPr/>
    <w:rPr/>
  </w:style>
  <w:style w:type="paragraph" w:styleId="Style16">
    <w:name w:val="메모 주제"/>
    <w:basedOn w:val="Style15"/>
    <w:next w:val="Style15"/>
    <w:qFormat/>
    <w:pPr/>
    <w:rPr>
      <w:b/>
      <w:bCs/>
    </w:rPr>
  </w:style>
  <w:style w:type="paragraph" w:styleId="Retrait1">
    <w:name w:val="Retrait 1"/>
    <w:basedOn w:val="Normal"/>
    <w:qFormat/>
    <w:pPr>
      <w:numPr>
        <w:ilvl w:val="0"/>
        <w:numId w:val="3"/>
      </w:numPr>
      <w:tabs>
        <w:tab w:val="clear" w:pos="708"/>
        <w:tab w:val="left" w:pos="502" w:leader="none"/>
      </w:tabs>
      <w:spacing w:lineRule="exact" w:line="260" w:before="130" w:after="0"/>
      <w:ind w:hanging="284" w:start="426" w:end="0"/>
      <w:jc w:val="both"/>
    </w:pPr>
    <w:rPr>
      <w:sz w:val="22"/>
      <w:szCs w:val="22"/>
    </w:rPr>
  </w:style>
  <w:style w:type="paragraph" w:styleId="Style17">
    <w:name w:val="캡션"/>
    <w:basedOn w:val="Normal"/>
    <w:next w:val="Normal"/>
    <w:qFormat/>
    <w:pPr/>
    <w:rPr>
      <w:b/>
      <w:bCs/>
    </w:rPr>
  </w:style>
  <w:style w:type="paragraph" w:styleId="Style18">
    <w:name w:val="문서 구조"/>
    <w:basedOn w:val="Normal"/>
    <w:qFormat/>
    <w:pPr>
      <w:shd w:fill="000080" w:val="clear"/>
    </w:pPr>
    <w:rPr>
      <w:rFonts w:ascii="Tahoma" w:hAnsi="Tahoma" w:cs="Tahoma"/>
    </w:rPr>
  </w:style>
  <w:style w:type="paragraph" w:styleId="ListParagraph1">
    <w:name w:val="List Paragraph1"/>
    <w:basedOn w:val="Normal"/>
    <w:qFormat/>
    <w:pPr>
      <w:ind w:hanging="0" w:start="708" w:end="0"/>
    </w:pPr>
    <w:rPr/>
  </w:style>
  <w:style w:type="paragraph" w:styleId="step1">
    <w:name w:val="step 1"/>
    <w:basedOn w:val="Normal"/>
    <w:qFormat/>
    <w:pPr>
      <w:keepLines/>
      <w:tabs>
        <w:tab w:val="clear" w:pos="708"/>
        <w:tab w:val="left" w:pos="576" w:leader="none"/>
        <w:tab w:val="left" w:pos="1152" w:leader="none"/>
        <w:tab w:val="left" w:pos="1728" w:leader="none"/>
      </w:tabs>
      <w:overflowPunct w:val="true"/>
      <w:autoSpaceDE w:val="true"/>
      <w:spacing w:before="240" w:after="0"/>
      <w:ind w:hanging="578" w:start="578" w:end="0"/>
      <w:textAlignment w:val="auto"/>
    </w:pPr>
    <w:rPr>
      <w:rFonts w:ascii="Arial" w:hAnsi="Arial" w:cs="Arial"/>
      <w:caps/>
      <w:lang w:val="en-GB"/>
    </w:rPr>
  </w:style>
  <w:style w:type="paragraph" w:styleId="Revision1">
    <w:name w:val="Revision1"/>
    <w:qFormat/>
    <w:pPr>
      <w:widowControl/>
      <w:bidi w:val="0"/>
    </w:pPr>
    <w:rPr>
      <w:rFonts w:ascii="Times New Roman" w:hAnsi="Times New Roman" w:eastAsia="맑은 고딕" w:cs="Times New Roman"/>
      <w:color w:val="auto"/>
      <w:sz w:val="20"/>
      <w:szCs w:val="20"/>
      <w:lang w:val="fr-FR" w:bidi="ar-SA" w:eastAsia="zh-CN"/>
    </w:rPr>
  </w:style>
  <w:style w:type="paragraph" w:styleId="Kheading2Append2">
    <w:name w:val="Kheading2 Append 2"/>
    <w:basedOn w:val="Normal"/>
    <w:qFormat/>
    <w:pPr>
      <w:pageBreakBefore/>
      <w:tabs>
        <w:tab w:val="clear" w:pos="708"/>
        <w:tab w:val="left" w:pos="1267" w:leader="none"/>
      </w:tabs>
      <w:overflowPunct w:val="true"/>
      <w:autoSpaceDE w:val="true"/>
      <w:spacing w:before="0" w:after="240"/>
      <w:ind w:hanging="1267" w:start="1267" w:end="0"/>
      <w:textAlignment w:val="auto"/>
      <w:outlineLvl w:val="1"/>
    </w:pPr>
    <w:rPr>
      <w:rFonts w:ascii="Arial" w:hAnsi="Arial" w:eastAsia="Calibri" w:cs="Arial"/>
      <w:b/>
      <w:sz w:val="28"/>
      <w:szCs w:val="24"/>
      <w:lang w:val="en-US"/>
    </w:rPr>
  </w:style>
  <w:style w:type="paragraph" w:styleId="Style19">
    <w:name w:val="수정"/>
    <w:qFormat/>
    <w:pPr>
      <w:widowControl/>
      <w:bidi w:val="0"/>
    </w:pPr>
    <w:rPr>
      <w:rFonts w:ascii="Times New Roman" w:hAnsi="Times New Roman" w:eastAsia="맑은 고딕" w:cs="Times New Roman"/>
      <w:color w:val="auto"/>
      <w:sz w:val="20"/>
      <w:szCs w:val="20"/>
      <w:lang w:val="fr-FR"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StyleNum">
    <w:name w:val="WW8StyleNum"/>
    <w:qFormat/>
  </w:style>
  <w:style w:type="numbering" w:styleId="WW8StyleNum1">
    <w:name w:val="WW8StyleNum1"/>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2018-07-16T09:06:00Z</dcterms:created>
  <dc:creator>Pam Wessels</dc:creator>
  <dc:description/>
  <cp:keywords/>
  <dc:language>en-US</dc:language>
  <cp:lastModifiedBy>Hyun-Ho Shim</cp:lastModifiedBy>
  <cp:lastPrinted>2011-10-10T11:25:00Z</cp:lastPrinted>
  <dcterms:modified xsi:type="dcterms:W3CDTF">2025-01-13T06:31:00Z</dcterms:modified>
  <cp:revision>9</cp:revision>
  <dc:subject/>
  <dc:title/>
</cp:coreProperties>
</file>