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9954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277"/>
        <w:gridCol w:w="4739"/>
        <w:gridCol w:w="938"/>
      </w:tblGrid>
      <w:tr>
        <w:trPr/>
        <w:tc>
          <w:tcPr>
            <w:tcW w:w="4277" w:type="dxa"/>
            <w:tcBorders>
              <w:top w:val="single" w:sz="4" w:space="0" w:color="000000"/>
              <w:start w:val="single" w:sz="4" w:space="0" w:color="000000"/>
            </w:tcBorders>
          </w:tcPr>
          <w:p>
            <w:pPr>
              <w:pStyle w:val="KNormal"/>
              <w:numPr>
                <w:ilvl w:val="0"/>
                <w:numId w:val="0"/>
              </w:numPr>
              <w:shd w:fill="FFFFFF" w:val="clear"/>
              <w:spacing w:before="0" w:after="60"/>
              <w:ind w:hanging="0" w:start="0"/>
              <w:rPr>
                <w:b/>
                <w:sz w:val="24"/>
              </w:rPr>
            </w:pPr>
            <w:r>
              <w:rPr>
                <w:b/>
                <w:sz w:val="24"/>
              </w:rPr>
              <w:t>To:</w:t>
            </w:r>
          </w:p>
        </w:tc>
        <w:tc>
          <w:tcPr>
            <w:tcW w:w="5677" w:type="dxa"/>
            <w:gridSpan w:val="2"/>
            <w:tcBorders>
              <w:top w:val="single" w:sz="4" w:space="0" w:color="000000"/>
              <w:end w:val="single" w:sz="4" w:space="0" w:color="000000"/>
            </w:tcBorders>
          </w:tcPr>
          <w:p>
            <w:pPr>
              <w:pStyle w:val="KNormal"/>
              <w:numPr>
                <w:ilvl w:val="0"/>
                <w:numId w:val="0"/>
              </w:numPr>
              <w:shd w:fill="FFFFFF" w:val="clear"/>
              <w:spacing w:before="0" w:after="60"/>
              <w:ind w:hanging="0" w:start="0"/>
              <w:rPr>
                <w:b/>
                <w:sz w:val="24"/>
              </w:rPr>
            </w:pPr>
            <w:r>
              <w:rPr>
                <w:b/>
                <w:sz w:val="24"/>
              </w:rPr>
              <w:t>Office:</w:t>
            </w:r>
          </w:p>
        </w:tc>
      </w:tr>
      <w:tr>
        <w:trPr/>
        <w:tc>
          <w:tcPr>
            <w:tcW w:w="4277" w:type="dxa"/>
            <w:tcBorders>
              <w:start w:val="single" w:sz="4" w:space="0" w:color="000000"/>
            </w:tcBorders>
          </w:tcPr>
          <w:p>
            <w:pPr>
              <w:pStyle w:val="KNormal"/>
              <w:numPr>
                <w:ilvl w:val="0"/>
                <w:numId w:val="0"/>
              </w:numPr>
              <w:shd w:fill="FFFFFF" w:val="clear"/>
              <w:spacing w:before="0" w:after="60"/>
              <w:ind w:hanging="0" w:start="0"/>
              <w:rPr/>
            </w:pPr>
            <w:r>
              <w:rPr>
                <w:sz w:val="24"/>
              </w:rPr>
              <w:t xml:space="preserve"/>
            </w:r>
            <w:r>
              <w:rPr>
                <w:sz w:val="24"/>
                <w:highlight w:val="yellow"/>
              </w:rPr>
              <w:t xml:space="preserve">Hyun-Ho Shim – Group Engagement Partner</w:t>
            </w:r>
            <w:r>
              <w:rPr>
                <w:i/>
                <w:sz w:val="24"/>
              </w:rPr>
              <w:t xml:space="preserve"/>
            </w:r>
            <w:r>
              <w:rPr>
                <w:sz w:val="24"/>
              </w:rPr>
              <w:t xml:space="preserve"/>
            </w:r>
          </w:p>
        </w:tc>
        <w:tc>
          <w:tcPr>
            <w:tcW w:w="5677" w:type="dxa"/>
            <w:gridSpan w:val="2"/>
            <w:tcBorders>
              <w:end w:val="single" w:sz="4" w:space="0" w:color="000000"/>
            </w:tcBorders>
          </w:tcPr>
          <w:p>
            <w:pPr>
              <w:pStyle w:val="KNormal"/>
              <w:numPr>
                <w:ilvl w:val="0"/>
                <w:numId w:val="0"/>
              </w:numPr>
              <w:shd w:fill="FFFFFF" w:val="clear"/>
              <w:spacing w:before="0" w:after="60"/>
              <w:ind w:hanging="0" w:start="0"/>
              <w:rPr/>
            </w:pPr>
            <w:r>
              <w:rPr>
                <w:sz w:val="24"/>
              </w:rPr>
              <w:t xml:space="preserve"/>
            </w:r>
            <w:r>
              <w:rPr>
                <w:sz w:val="24"/>
                <w:highlight w:val="yellow"/>
              </w:rPr>
              <w:t xml:space="preserve">Forvis Mazars Sebit (Korea) – Seoul, Korea</w:t>
            </w:r>
            <w:r>
              <w:rPr>
                <w:i/>
                <w:sz w:val="24"/>
              </w:rPr>
              <w:t xml:space="preserve"/>
            </w:r>
            <w:r>
              <w:rPr>
                <w:sz w:val="24"/>
              </w:rPr>
              <w:t xml:space="preserve"/>
            </w:r>
          </w:p>
        </w:tc>
      </w:tr>
      <w:tr>
        <w:trPr/>
        <w:tc>
          <w:tcPr>
            <w:tcW w:w="4277" w:type="dxa"/>
            <w:tcBorders>
              <w:start w:val="single" w:sz="4" w:space="0" w:color="000000"/>
            </w:tcBorders>
          </w:tcPr>
          <w:p>
            <w:pPr>
              <w:pStyle w:val="KNormal"/>
              <w:numPr>
                <w:ilvl w:val="0"/>
                <w:numId w:val="0"/>
              </w:numPr>
              <w:shd w:fill="FFFFFF" w:val="clear"/>
              <w:spacing w:before="0" w:after="60"/>
              <w:ind w:hanging="0" w:start="0"/>
              <w:rPr>
                <w:b/>
                <w:sz w:val="24"/>
              </w:rPr>
            </w:pPr>
            <w:r>
              <w:rPr>
                <w:b/>
                <w:sz w:val="24"/>
              </w:rPr>
              <w:t>From:</w:t>
            </w:r>
          </w:p>
        </w:tc>
        <w:tc>
          <w:tcPr>
            <w:tcW w:w="4739" w:type="dxa"/>
            <w:tcBorders/>
          </w:tcPr>
          <w:p>
            <w:pPr>
              <w:pStyle w:val="KNormal"/>
              <w:numPr>
                <w:ilvl w:val="0"/>
                <w:numId w:val="0"/>
              </w:numPr>
              <w:shd w:fill="FFFFFF" w:val="clear"/>
              <w:spacing w:before="0" w:after="60"/>
              <w:ind w:hanging="0" w:start="0"/>
              <w:rPr>
                <w:b/>
                <w:sz w:val="24"/>
              </w:rPr>
            </w:pPr>
            <w:r>
              <w:rPr>
                <w:b/>
                <w:sz w:val="24"/>
              </w:rPr>
              <w:t>Office:</w:t>
            </w:r>
          </w:p>
        </w:tc>
        <w:tc>
          <w:tcPr>
            <w:tcW w:w="938" w:type="dxa"/>
            <w:tcBorders>
              <w:end w:val="single" w:sz="4" w:space="0" w:color="000000"/>
            </w:tcBorders>
          </w:tcPr>
          <w:p>
            <w:pPr>
              <w:pStyle w:val="KNormal"/>
              <w:numPr>
                <w:ilvl w:val="0"/>
                <w:numId w:val="0"/>
              </w:numPr>
              <w:shd w:fill="FFFFFF" w:val="clear"/>
              <w:spacing w:before="0" w:after="60"/>
              <w:ind w:hanging="0" w:start="0"/>
              <w:rPr>
                <w:b/>
                <w:sz w:val="24"/>
              </w:rPr>
            </w:pPr>
            <w:r>
              <w:rPr>
                <w:b/>
                <w:sz w:val="24"/>
              </w:rPr>
              <w:t>Date</w:t>
            </w:r>
          </w:p>
        </w:tc>
      </w:tr>
      <w:tr>
        <w:trPr/>
        <w:tc>
          <w:tcPr>
            <w:tcW w:w="42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KNormal"/>
              <w:numPr>
                <w:ilvl w:val="0"/>
                <w:numId w:val="0"/>
              </w:numPr>
              <w:shd w:fill="FFFFFF" w:val="clear"/>
              <w:spacing w:before="0" w:after="60"/>
              <w:ind w:hanging="0" w:start="0"/>
              <w:rPr/>
            </w:pPr>
            <w:r>
              <w:rPr>
                <w:sz w:val="24"/>
              </w:rPr>
              <w:t>[</w:t>
            </w:r>
            <w:r>
              <w:rPr>
                <w:i/>
                <w:sz w:val="24"/>
              </w:rPr>
              <w:t>Component engagement partner</w:t>
            </w:r>
            <w:r>
              <w:rPr>
                <w:sz w:val="24"/>
              </w:rPr>
              <w:t>]</w:t>
            </w:r>
          </w:p>
        </w:tc>
        <w:tc>
          <w:tcPr>
            <w:tcW w:w="4739" w:type="dxa"/>
            <w:tcBorders>
              <w:bottom w:val="single" w:sz="4" w:space="0" w:color="000000"/>
            </w:tcBorders>
          </w:tcPr>
          <w:p>
            <w:pPr>
              <w:pStyle w:val="KNormal"/>
              <w:numPr>
                <w:ilvl w:val="0"/>
                <w:numId w:val="0"/>
              </w:numPr>
              <w:shd w:fill="FFFFFF" w:val="clear"/>
              <w:spacing w:before="0" w:after="60"/>
              <w:ind w:hanging="0" w:start="0"/>
              <w:rPr/>
            </w:pPr>
            <w:r>
              <w:rPr>
                <w:sz w:val="24"/>
              </w:rPr>
              <w:t>[</w:t>
            </w:r>
            <w:r>
              <w:rPr>
                <w:i/>
                <w:sz w:val="24"/>
              </w:rPr>
              <w:t>Component auditor location</w:t>
            </w:r>
            <w:r>
              <w:rPr>
                <w:sz w:val="24"/>
              </w:rPr>
              <w:t>]</w:t>
            </w:r>
          </w:p>
        </w:tc>
        <w:tc>
          <w:tcPr>
            <w:tcW w:w="938" w:type="dxa"/>
            <w:tcBorders>
              <w:bottom w:val="single" w:sz="4" w:space="0" w:color="000000"/>
              <w:end w:val="single" w:sz="4" w:space="0" w:color="000000"/>
            </w:tcBorders>
          </w:tcPr>
          <w:p>
            <w:pPr>
              <w:pStyle w:val="KNormal"/>
              <w:numPr>
                <w:ilvl w:val="0"/>
                <w:numId w:val="0"/>
              </w:numPr>
              <w:shd w:fill="FFFFFF" w:val="clear"/>
              <w:spacing w:before="0" w:after="60"/>
              <w:ind w:hanging="0" w:start="0"/>
              <w:rPr/>
            </w:pPr>
            <w:r>
              <w:rPr>
                <w:sz w:val="24"/>
              </w:rPr>
              <w:t>[</w:t>
            </w:r>
            <w:r>
              <w:rPr>
                <w:i/>
                <w:sz w:val="24"/>
              </w:rPr>
              <w:t>Date</w:t>
            </w:r>
            <w:r>
              <w:rPr>
                <w:sz w:val="24"/>
              </w:rPr>
              <w:t>]</w:t>
            </w:r>
          </w:p>
        </w:tc>
      </w:tr>
    </w:tbl>
    <w:p>
      <w:pPr>
        <w:pStyle w:val="KAppendixSubHeading1a"/>
        <w:shd w:fill="FFFFFF" w:val="clear"/>
        <w:tabs>
          <w:tab w:val="clear" w:pos="720"/>
        </w:tabs>
        <w:spacing w:before="360" w:after="120"/>
        <w:ind w:hanging="360" w:start="360" w:end="0"/>
        <w:rPr/>
      </w:pPr>
      <w:r>
        <w:rPr>
          <w:rFonts w:cs="Times New Roman" w:ascii="Times New Roman" w:hAnsi="Times New Roman"/>
          <w:sz w:val="24"/>
        </w:rPr>
        <w:t>1.</w:t>
        <w:tab/>
      </w:r>
      <w:r>
        <w:rPr/>
        <w:t>Identification</w:t>
      </w:r>
    </w:p>
    <w:tbl>
      <w:tblPr>
        <w:tblW w:w="10031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451"/>
        <w:gridCol w:w="4657"/>
        <w:gridCol w:w="923"/>
      </w:tblGrid>
      <w:tr>
        <w:trPr>
          <w:cantSplit w:val="true"/>
        </w:trPr>
        <w:tc>
          <w:tcPr>
            <w:tcW w:w="4451" w:type="dxa"/>
            <w:tcBorders>
              <w:top w:val="single" w:sz="4" w:space="0" w:color="000000"/>
              <w:start w:val="single" w:sz="4" w:space="0" w:color="000000"/>
            </w:tcBorders>
          </w:tcPr>
          <w:p>
            <w:pPr>
              <w:pStyle w:val="KNormal"/>
              <w:numPr>
                <w:ilvl w:val="0"/>
                <w:numId w:val="0"/>
              </w:numPr>
              <w:shd w:fill="FFFFFF" w:val="clear"/>
              <w:spacing w:before="0" w:after="60"/>
              <w:ind w:hanging="0" w:start="0"/>
              <w:rPr/>
            </w:pPr>
            <w:r>
              <w:rPr>
                <w:b/>
                <w:sz w:val="24"/>
              </w:rPr>
              <w:t>Group’s Name:</w:t>
            </w:r>
          </w:p>
        </w:tc>
        <w:tc>
          <w:tcPr>
            <w:tcW w:w="4657" w:type="dxa"/>
            <w:tcBorders>
              <w:top w:val="single" w:sz="4" w:space="0" w:color="000000"/>
            </w:tcBorders>
          </w:tcPr>
          <w:p>
            <w:pPr>
              <w:pStyle w:val="KNormal"/>
              <w:numPr>
                <w:ilvl w:val="0"/>
                <w:numId w:val="0"/>
              </w:numPr>
              <w:shd w:fill="FFFFFF" w:val="clear"/>
              <w:spacing w:before="0" w:after="60"/>
              <w:ind w:hanging="0" w:start="0"/>
              <w:rPr/>
            </w:pPr>
            <w:r>
              <w:rPr>
                <w:sz w:val="24"/>
              </w:rPr>
              <w:t xml:space="preserve"/>
            </w:r>
            <w:r>
              <w:rPr>
                <w:sz w:val="24"/>
                <w:highlight w:val="yellow"/>
              </w:rPr>
              <w:t xml:space="preserve">Faurecia Korea</w:t>
            </w:r>
            <w:r>
              <w:rPr>
                <w:i/>
                <w:sz w:val="24"/>
              </w:rPr>
              <w:t xml:space="preserve"/>
            </w:r>
            <w:r>
              <w:rPr>
                <w:sz w:val="24"/>
              </w:rPr>
              <w:t xml:space="preserve"/>
            </w:r>
            <w:r>
              <w:rPr>
                <w:i/>
                <w:sz w:val="24"/>
              </w:rPr>
              <w:t xml:space="preserve"> (“the group”)</w:t>
            </w:r>
          </w:p>
        </w:tc>
        <w:tc>
          <w:tcPr>
            <w:tcW w:w="923" w:type="dxa"/>
            <w:tcBorders>
              <w:top w:val="single" w:sz="4" w:space="0" w:color="000000"/>
              <w:end w:val="single" w:sz="4" w:space="0" w:color="000000"/>
            </w:tcBorders>
          </w:tcPr>
          <w:p>
            <w:pPr>
              <w:pStyle w:val="KNormal"/>
              <w:numPr>
                <w:ilvl w:val="0"/>
                <w:numId w:val="0"/>
              </w:numPr>
              <w:shd w:fill="FFFFFF" w:val="clear"/>
              <w:snapToGrid w:val="false"/>
              <w:spacing w:before="0" w:after="60"/>
              <w:ind w:hanging="0" w:start="0"/>
              <w:rPr>
                <w:i/>
                <w:i/>
                <w:sz w:val="24"/>
              </w:rPr>
            </w:pPr>
            <w:r>
              <w:rPr>
                <w:i/>
                <w:sz w:val="24"/>
              </w:rPr>
            </w:r>
          </w:p>
        </w:tc>
      </w:tr>
      <w:tr>
        <w:trPr>
          <w:cantSplit w:val="true"/>
        </w:trPr>
        <w:tc>
          <w:tcPr>
            <w:tcW w:w="4451" w:type="dxa"/>
            <w:tcBorders>
              <w:start w:val="single" w:sz="4" w:space="0" w:color="000000"/>
            </w:tcBorders>
          </w:tcPr>
          <w:p>
            <w:pPr>
              <w:pStyle w:val="KNormal"/>
              <w:numPr>
                <w:ilvl w:val="0"/>
                <w:numId w:val="0"/>
              </w:numPr>
              <w:shd w:fill="FFFFFF" w:val="clear"/>
              <w:spacing w:before="0" w:after="60"/>
              <w:ind w:hanging="0" w:start="0"/>
              <w:rPr>
                <w:sz w:val="24"/>
              </w:rPr>
            </w:pPr>
            <w:r>
              <w:rPr>
                <w:b/>
                <w:sz w:val="24"/>
              </w:rPr>
              <w:t>Period covered by the Group Audit:</w:t>
            </w:r>
          </w:p>
        </w:tc>
        <w:tc>
          <w:tcPr>
            <w:tcW w:w="4657" w:type="dxa"/>
            <w:tcBorders/>
          </w:tcPr>
          <w:p>
            <w:pPr>
              <w:pStyle w:val="KNormal"/>
              <w:numPr>
                <w:ilvl w:val="0"/>
                <w:numId w:val="0"/>
              </w:numPr>
              <w:shd w:fill="FFFFFF" w:val="clear"/>
              <w:spacing w:before="0" w:after="60"/>
              <w:ind w:hanging="0" w:start="0"/>
              <w:rPr>
                <w:b/>
                <w:i/>
                <w:i/>
                <w:sz w:val="24"/>
              </w:rPr>
            </w:pPr>
            <w:r>
              <w:rPr>
                <w:sz w:val="24"/>
              </w:rPr>
              <w:t xml:space="preserve"/>
            </w:r>
            <w:r>
              <w:rPr>
                <w:sz w:val="24"/>
                <w:highlight w:val="yellow"/>
              </w:rPr>
              <w:t xml:space="preserve">Year ending December 31, 2026</w:t>
            </w:r>
            <w:r>
              <w:rPr>
                <w:i/>
                <w:sz w:val="24"/>
              </w:rPr>
              <w:t xml:space="preserve"/>
            </w:r>
            <w:r>
              <w:rPr>
                <w:sz w:val="24"/>
              </w:rPr>
              <w:t xml:space="preserve"/>
            </w:r>
            <w:r>
              <w:rPr>
                <w:i/>
                <w:sz w:val="24"/>
              </w:rPr>
              <w:tab/>
              <w:t xml:space="preserve"> </w:t>
            </w:r>
          </w:p>
        </w:tc>
        <w:tc>
          <w:tcPr>
            <w:tcW w:w="923" w:type="dxa"/>
            <w:tcBorders>
              <w:end w:val="single" w:sz="4" w:space="0" w:color="000000"/>
            </w:tcBorders>
          </w:tcPr>
          <w:p>
            <w:pPr>
              <w:pStyle w:val="KNormal"/>
              <w:numPr>
                <w:ilvl w:val="0"/>
                <w:numId w:val="0"/>
              </w:numPr>
              <w:shd w:fill="FFFFFF" w:val="clear"/>
              <w:snapToGrid w:val="false"/>
              <w:spacing w:before="0" w:after="60"/>
              <w:ind w:hanging="0" w:start="108" w:end="0"/>
              <w:rPr>
                <w:b/>
                <w:i/>
                <w:i/>
                <w:sz w:val="24"/>
              </w:rPr>
            </w:pPr>
            <w:r>
              <w:rPr>
                <w:b/>
                <w:i/>
                <w:sz w:val="24"/>
              </w:rPr>
            </w:r>
          </w:p>
        </w:tc>
      </w:tr>
      <w:tr>
        <w:trPr>
          <w:cantSplit w:val="true"/>
        </w:trPr>
        <w:tc>
          <w:tcPr>
            <w:tcW w:w="4451" w:type="dxa"/>
            <w:tcBorders>
              <w:start w:val="single" w:sz="4" w:space="0" w:color="000000"/>
            </w:tcBorders>
          </w:tcPr>
          <w:p>
            <w:pPr>
              <w:pStyle w:val="KNormal"/>
              <w:numPr>
                <w:ilvl w:val="0"/>
                <w:numId w:val="0"/>
              </w:numPr>
              <w:shd w:fill="FFFFFF" w:val="clear"/>
              <w:spacing w:before="0" w:after="60"/>
              <w:ind w:hanging="0" w:start="0"/>
              <w:rPr>
                <w:sz w:val="24"/>
              </w:rPr>
            </w:pPr>
            <w:r>
              <w:rPr>
                <w:b/>
                <w:sz w:val="24"/>
              </w:rPr>
              <w:t>Component’s Name:</w:t>
            </w:r>
          </w:p>
        </w:tc>
        <w:tc>
          <w:tcPr>
            <w:tcW w:w="4657" w:type="dxa"/>
            <w:tcBorders/>
          </w:tcPr>
          <w:p>
            <w:pPr>
              <w:pStyle w:val="KNormal"/>
              <w:numPr>
                <w:ilvl w:val="0"/>
                <w:numId w:val="0"/>
              </w:numPr>
              <w:shd w:fill="FFFFFF" w:val="clear"/>
              <w:spacing w:before="0" w:after="60"/>
              <w:ind w:hanging="0" w:start="0"/>
              <w:rPr/>
            </w:pPr>
            <w:r>
              <w:rPr>
                <w:sz w:val="24"/>
              </w:rPr>
              <w:t xml:space="preserve"/>
            </w:r>
            <w:r>
              <w:rPr>
                <w:sz w:val="24"/>
                <w:highlight w:val="yellow"/>
              </w:rPr>
              <w:t xml:space="preserve">Faurecia Emissions Control Technologies India Private Ltd. (IN04)</w:t>
            </w:r>
            <w:r>
              <w:rPr>
                <w:i/>
                <w:sz w:val="24"/>
              </w:rPr>
              <w:t xml:space="preserve"/>
            </w:r>
            <w:r>
              <w:rPr>
                <w:sz w:val="24"/>
              </w:rPr>
              <w:t xml:space="preserve"/>
            </w:r>
            <w:r>
              <w:rPr>
                <w:i/>
                <w:sz w:val="24"/>
              </w:rPr>
              <w:t xml:space="preserve"> (“the Component”)</w:t>
            </w:r>
          </w:p>
        </w:tc>
        <w:tc>
          <w:tcPr>
            <w:tcW w:w="923" w:type="dxa"/>
            <w:tcBorders>
              <w:end w:val="single" w:sz="4" w:space="0" w:color="000000"/>
            </w:tcBorders>
          </w:tcPr>
          <w:p>
            <w:pPr>
              <w:pStyle w:val="KNormal"/>
              <w:numPr>
                <w:ilvl w:val="0"/>
                <w:numId w:val="0"/>
              </w:numPr>
              <w:shd w:fill="FFFFFF" w:val="clear"/>
              <w:snapToGrid w:val="false"/>
              <w:spacing w:before="0" w:after="60"/>
              <w:ind w:hanging="0" w:start="0"/>
              <w:rPr>
                <w:i/>
                <w:i/>
                <w:sz w:val="24"/>
              </w:rPr>
            </w:pPr>
            <w:r>
              <w:rPr>
                <w:i/>
                <w:sz w:val="24"/>
              </w:rPr>
            </w:r>
          </w:p>
        </w:tc>
      </w:tr>
      <w:tr>
        <w:trPr>
          <w:cantSplit w:val="true"/>
        </w:trPr>
        <w:tc>
          <w:tcPr>
            <w:tcW w:w="4451" w:type="dxa"/>
            <w:tcBorders>
              <w:start w:val="single" w:sz="4" w:space="0" w:color="000000"/>
            </w:tcBorders>
          </w:tcPr>
          <w:p>
            <w:pPr>
              <w:pStyle w:val="KNormal"/>
              <w:numPr>
                <w:ilvl w:val="0"/>
                <w:numId w:val="0"/>
              </w:numPr>
              <w:shd w:fill="FFFFFF" w:val="clear"/>
              <w:spacing w:before="0" w:after="60"/>
              <w:ind w:hanging="0" w:start="0"/>
              <w:rPr>
                <w:b/>
                <w:sz w:val="24"/>
              </w:rPr>
            </w:pPr>
            <w:r>
              <w:rPr>
                <w:b/>
                <w:sz w:val="24"/>
              </w:rPr>
              <w:t>Component type of work:</w:t>
            </w:r>
          </w:p>
        </w:tc>
        <w:tc>
          <w:tcPr>
            <w:tcW w:w="4657" w:type="dxa"/>
            <w:tcBorders/>
          </w:tcPr>
          <w:p>
            <w:pPr>
              <w:pStyle w:val="KNormal"/>
              <w:numPr>
                <w:ilvl w:val="0"/>
                <w:numId w:val="0"/>
              </w:numPr>
              <w:shd w:fill="FFFFFF" w:val="clear"/>
              <w:spacing w:before="0" w:after="60"/>
              <w:ind w:hanging="0" w:start="0"/>
              <w:rPr>
                <w:i/>
                <w:i/>
                <w:sz w:val="24"/>
              </w:rPr>
            </w:pPr>
            <w:r>
              <w:rPr>
                <w:sz w:val="24"/>
                <w:highlight w:val="yellow"/>
              </w:rPr>
              <w:t xml:space="preserve">Audit (Full Audit Scope)</w:t>
            </w:r>
          </w:p>
        </w:tc>
        <w:tc>
          <w:tcPr>
            <w:tcW w:w="923" w:type="dxa"/>
            <w:tcBorders>
              <w:end w:val="single" w:sz="4" w:space="0" w:color="000000"/>
            </w:tcBorders>
          </w:tcPr>
          <w:p>
            <w:pPr>
              <w:pStyle w:val="KNormal"/>
              <w:numPr>
                <w:ilvl w:val="0"/>
                <w:numId w:val="0"/>
              </w:numPr>
              <w:shd w:fill="FFFFFF" w:val="clear"/>
              <w:snapToGrid w:val="false"/>
              <w:spacing w:before="0" w:after="60"/>
              <w:ind w:hanging="0" w:start="0"/>
              <w:rPr>
                <w:i/>
                <w:i/>
                <w:sz w:val="24"/>
              </w:rPr>
            </w:pPr>
            <w:r>
              <w:rPr>
                <w:i/>
                <w:sz w:val="24"/>
              </w:rPr>
            </w:r>
          </w:p>
        </w:tc>
      </w:tr>
      <w:tr>
        <w:trPr>
          <w:cantSplit w:val="true"/>
        </w:trPr>
        <w:tc>
          <w:tcPr>
            <w:tcW w:w="445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KNormal"/>
              <w:numPr>
                <w:ilvl w:val="0"/>
                <w:numId w:val="0"/>
              </w:numPr>
              <w:shd w:fill="FFFFFF" w:val="clear"/>
              <w:spacing w:before="0" w:after="60"/>
              <w:ind w:hanging="0" w:start="0"/>
              <w:rPr>
                <w:sz w:val="24"/>
              </w:rPr>
            </w:pPr>
            <w:r>
              <w:rPr>
                <w:b/>
                <w:sz w:val="24"/>
              </w:rPr>
              <w:t>Closing date of the financial statements covered by the work of the component auditor:</w:t>
            </w:r>
          </w:p>
        </w:tc>
        <w:tc>
          <w:tcPr>
            <w:tcW w:w="4657" w:type="dxa"/>
            <w:tcBorders>
              <w:bottom w:val="single" w:sz="4" w:space="0" w:color="000000"/>
            </w:tcBorders>
          </w:tcPr>
          <w:p>
            <w:pPr>
              <w:pStyle w:val="KNormal"/>
              <w:numPr>
                <w:ilvl w:val="0"/>
                <w:numId w:val="0"/>
              </w:numPr>
              <w:shd w:fill="FFFFFF" w:val="clear"/>
              <w:spacing w:before="0" w:after="60"/>
              <w:ind w:hanging="0" w:start="0"/>
              <w:rPr>
                <w:b/>
                <w:i/>
                <w:i/>
                <w:sz w:val="24"/>
              </w:rPr>
            </w:pPr>
            <w:r>
              <w:rPr>
                <w:sz w:val="24"/>
              </w:rPr>
              <w:t xml:space="preserve"/>
            </w:r>
            <w:r>
              <w:rPr>
                <w:sz w:val="24"/>
                <w:highlight w:val="yellow"/>
              </w:rPr>
              <w:t xml:space="preserve">December 31, 2026</w:t>
            </w:r>
            <w:r>
              <w:rPr>
                <w:i/>
                <w:sz w:val="24"/>
              </w:rPr>
              <w:t xml:space="preserve"/>
            </w:r>
            <w:r>
              <w:rPr>
                <w:sz w:val="24"/>
              </w:rPr>
              <w:t xml:space="preserve"/>
            </w:r>
            <w:r>
              <w:rPr>
                <w:i/>
                <w:sz w:val="24"/>
              </w:rPr>
              <w:tab/>
              <w:t xml:space="preserve"> </w:t>
            </w:r>
          </w:p>
        </w:tc>
        <w:tc>
          <w:tcPr>
            <w:tcW w:w="923" w:type="dxa"/>
            <w:tcBorders>
              <w:bottom w:val="single" w:sz="4" w:space="0" w:color="000000"/>
              <w:end w:val="single" w:sz="4" w:space="0" w:color="000000"/>
            </w:tcBorders>
          </w:tcPr>
          <w:p>
            <w:pPr>
              <w:pStyle w:val="KNormal"/>
              <w:numPr>
                <w:ilvl w:val="0"/>
                <w:numId w:val="0"/>
              </w:numPr>
              <w:shd w:fill="FFFFFF" w:val="clear"/>
              <w:snapToGrid w:val="false"/>
              <w:spacing w:before="0" w:after="60"/>
              <w:ind w:hanging="0" w:start="0"/>
              <w:rPr>
                <w:b/>
                <w:i/>
                <w:i/>
                <w:sz w:val="24"/>
              </w:rPr>
            </w:pPr>
            <w:r>
              <w:rPr>
                <w:b/>
                <w:i/>
                <w:sz w:val="24"/>
              </w:rPr>
            </w:r>
          </w:p>
        </w:tc>
      </w:tr>
    </w:tbl>
    <w:p>
      <w:pPr>
        <w:pStyle w:val="StyleJustifi"/>
        <w:rPr>
          <w:bCs/>
          <w:lang w:val="en-GB"/>
        </w:rPr>
      </w:pPr>
      <w:r>
        <w:rPr>
          <w:bCs/>
          <w:lang w:val="en-GB"/>
        </w:rPr>
      </w:r>
    </w:p>
    <w:p>
      <w:pPr>
        <w:pStyle w:val="StyleJustifi"/>
        <w:rPr>
          <w:b/>
          <w:lang w:val="en-GB"/>
        </w:rPr>
      </w:pPr>
      <w:r>
        <w:rPr>
          <w:b/>
          <w:lang w:val="en-GB"/>
        </w:rPr>
        <w:t xml:space="preserve">Subsequent Events Letter </w:t>
      </w:r>
    </w:p>
    <w:p>
      <w:pPr>
        <w:pStyle w:val="StyleJustifi"/>
        <w:rPr>
          <w:b/>
          <w:lang w:val="en-GB"/>
        </w:rPr>
      </w:pPr>
      <w:r>
        <w:rPr>
          <w:highlight w:val="cyan"/>
        </w:rPr>
        <w:t xml:space="preserve">[To be confirmed - shown in turquoise]  The due date for this letter is shown as TBD in section D.5 of the group audit instructions; we will notify you of the date once the Group reporting timetable is fixed.</w:t>
      </w:r>
    </w:p>
    <w:p>
      <w:pPr>
        <w:pStyle w:val="StyleJustifi"/>
        <w:rPr>
          <w:b/>
          <w:lang w:val="en-GB"/>
        </w:rPr>
      </w:pPr>
      <w:r>
        <w:rPr>
          <w:b/>
          <w:lang w:val="en-GB"/>
        </w:rPr>
      </w:r>
    </w:p>
    <w:p>
      <w:pPr>
        <w:pStyle w:val="StyleJustifi"/>
        <w:rPr/>
      </w:pPr>
      <w:r>
        <w:rPr>
          <w:lang w:val="en-GB"/>
        </w:rPr>
        <w:t xml:space="preserve">We have performed the necessary procedures and enquiries in order to identify any event likely to have a significant impact on the financial position as of </w:t>
      </w:r>
      <w:r>
        <w:rPr>
          <w:lang w:val="en-GB"/>
          <w:highlight w:val="yellow"/>
        </w:rPr>
        <w:t xml:space="preserve">December 31, 2026</w:t>
      </w:r>
      <w:r>
        <w:rPr>
          <w:highlight w:val="yellow"/>
          <w:lang w:val="en-GB"/>
        </w:rPr>
        <w:t xml:space="preserve"/>
      </w:r>
      <w:r>
        <w:rPr>
          <w:lang w:val="en-GB"/>
        </w:rPr>
        <w:t xml:space="preserve"/>
      </w:r>
      <w:r>
        <w:rPr>
          <w:lang w:val="en-GB"/>
        </w:rPr>
        <w:t xml:space="preserve"> and results for the period then ended, which may have occurred between the date of our clearance / report on the consolidation package and [please insert date], the date on which we carried out our procedures and enquiries. </w:t>
      </w:r>
    </w:p>
    <w:p>
      <w:pPr>
        <w:pStyle w:val="StyleJustifi"/>
        <w:rPr>
          <w:lang w:val="en-GB"/>
        </w:rPr>
      </w:pPr>
      <w:r>
        <w:rPr>
          <w:lang w:val="en-GB"/>
        </w:rPr>
        <w:t>These procedures included the following:</w:t>
      </w:r>
    </w:p>
    <w:p>
      <w:pPr>
        <w:pStyle w:val="StyleJustifi"/>
        <w:rPr/>
      </w:pPr>
      <w:r>
        <w:rPr>
          <w:lang w:val="en-GB"/>
        </w:rPr>
        <w:t>•</w:t>
      </w:r>
      <w:r>
        <w:rPr>
          <w:lang w:val="en-GB"/>
        </w:rPr>
        <w:tab/>
        <w:t>Management enquiries: With respect to the period subsequent to our audit conclusion / opinion, inquire with management responsible for financial accounting matters whether there have been any acquisitions, infrequently occurring transactions or changes (e.g. which would affect estimates) that have a material effect on the audited financial statements.</w:t>
      </w:r>
    </w:p>
    <w:p>
      <w:pPr>
        <w:pStyle w:val="StyleJustifi"/>
        <w:rPr/>
      </w:pPr>
      <w:r>
        <w:rPr>
          <w:lang w:val="en-GB"/>
        </w:rPr>
        <w:t>•</w:t>
      </w:r>
      <w:r>
        <w:rPr>
          <w:lang w:val="en-GB"/>
        </w:rPr>
        <w:tab/>
        <w:t>Analytical procedures: Ask management if any latter financial figures are available. Review the figures for any unusual items / changes compared to audited financial statements.</w:t>
      </w:r>
    </w:p>
    <w:p>
      <w:pPr>
        <w:pStyle w:val="StyleJustifi"/>
        <w:rPr>
          <w:lang w:val="en-GB"/>
        </w:rPr>
      </w:pPr>
      <w:r>
        <w:rPr>
          <w:lang w:val="en-GB"/>
        </w:rPr>
        <w:t>•</w:t>
      </w:r>
      <w:r>
        <w:rPr>
          <w:lang w:val="en-GB"/>
        </w:rPr>
        <w:tab/>
        <w:t>Reading of minutes: Read the minutes of any meetings held by local executive management.</w:t>
      </w:r>
    </w:p>
    <w:p>
      <w:pPr>
        <w:pStyle w:val="StyleJustifi"/>
        <w:rPr>
          <w:lang w:val="en-GB"/>
        </w:rPr>
      </w:pPr>
      <w:r>
        <w:rPr>
          <w:lang w:val="en-GB"/>
        </w:rPr>
        <w:t>•</w:t>
      </w:r>
      <w:r>
        <w:rPr>
          <w:lang w:val="en-GB"/>
        </w:rPr>
        <w:tab/>
        <w:t>Obtain an appropriate letter of representation from management.</w:t>
      </w:r>
    </w:p>
    <w:p>
      <w:pPr>
        <w:pStyle w:val="StyleJustifi"/>
        <w:rPr>
          <w:lang w:val="en-GB"/>
        </w:rPr>
      </w:pPr>
      <w:r>
        <w:rPr>
          <w:lang w:val="en-GB"/>
        </w:rPr>
        <w:t>As a result of these procedures and enquiries, we have identified the following adjustments that need to be made to the financial statements:</w:t>
      </w:r>
    </w:p>
    <w:p>
      <w:pPr>
        <w:pStyle w:val="StyleJustifi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/>
      </w:pPr>
      <w:r>
        <w:rPr>
          <w:i/>
          <w:lang w:val="en-GB"/>
        </w:rPr>
        <w:t xml:space="preserve">(Please list all adjustments including explanation and amount.  If you have not identified any adjustments, please state “none”) </w:t>
      </w:r>
    </w:p>
    <w:p>
      <w:pPr>
        <w:pStyle w:val="StyleJustifi"/>
        <w:rPr>
          <w:lang w:val="en-GB"/>
        </w:rPr>
      </w:pPr>
      <w:r>
        <w:rPr>
          <w:lang w:val="en-GB"/>
        </w:rPr>
        <w:t>As a result of our procedures and enquiries, we have identified the following disclosures that need to be made in the financial statements:</w:t>
      </w:r>
    </w:p>
    <w:p>
      <w:pPr>
        <w:pStyle w:val="StyleJustifi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i/>
          <w:i/>
          <w:lang w:val="en-GB"/>
        </w:rPr>
      </w:pPr>
      <w:r>
        <w:rPr>
          <w:i/>
          <w:lang w:val="en-GB"/>
        </w:rPr>
        <w:t>(Please list any information that needs to be disclosed as a subsequent event in the financial statements, including amounts where applicable.  If you have not identified any disclosures that need to be made, please state “none”)</w:t>
      </w:r>
    </w:p>
    <w:p>
      <w:pPr>
        <w:pStyle w:val="StyleJustifi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i/>
          <w:i/>
          <w:lang w:val="en-GB"/>
        </w:rPr>
      </w:pPr>
      <w:r>
        <w:rPr>
          <w:i/>
          <w:lang w:val="en-GB"/>
        </w:rPr>
      </w:r>
    </w:p>
    <w:p>
      <w:pPr>
        <w:pStyle w:val="StyleJustifi"/>
        <w:rPr>
          <w:i/>
          <w:i/>
          <w:lang w:val="en-GB"/>
        </w:rPr>
      </w:pPr>
      <w:r>
        <w:rPr>
          <w:i/>
          <w:lang w:val="en-GB"/>
        </w:rPr>
      </w:r>
    </w:p>
    <w:p>
      <w:pPr>
        <w:pStyle w:val="StyleJustifi"/>
        <w:rPr>
          <w:lang w:val="en-GB"/>
        </w:rPr>
      </w:pPr>
      <w:r>
        <w:rPr>
          <w:lang w:val="en-GB"/>
        </w:rPr>
      </w:r>
    </w:p>
    <w:tbl>
      <w:tblPr>
        <w:tblW w:w="1029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800"/>
        <w:gridCol w:w="7490"/>
      </w:tblGrid>
      <w:tr>
        <w:trPr/>
        <w:tc>
          <w:tcPr>
            <w:tcW w:w="2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KNormal"/>
              <w:shd w:fill="FFFFFF" w:val="clear"/>
              <w:spacing w:before="0" w:after="240"/>
              <w:rPr>
                <w:rFonts w:eastAsia="Times New Roman"/>
                <w:sz w:val="24"/>
              </w:rPr>
            </w:pPr>
            <w:r>
              <w:rPr>
                <w:sz w:val="24"/>
              </w:rPr>
              <w:t>Signed</w:t>
            </w:r>
          </w:p>
        </w:tc>
        <w:tc>
          <w:tcPr>
            <w:tcW w:w="74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KNormal"/>
              <w:shd w:fill="FFFFFF" w:val="clear"/>
              <w:snapToGrid w:val="false"/>
              <w:spacing w:before="0" w:after="240"/>
              <w:rPr>
                <w:rFonts w:eastAsia="Times New Roman"/>
                <w:sz w:val="24"/>
              </w:rPr>
            </w:pPr>
            <w:r>
              <w:rPr>
                <w:rFonts w:eastAsia="Times New Roman"/>
                <w:sz w:val="24"/>
              </w:rPr>
            </w:r>
          </w:p>
        </w:tc>
      </w:tr>
      <w:tr>
        <w:trPr/>
        <w:tc>
          <w:tcPr>
            <w:tcW w:w="2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KNormal"/>
              <w:shd w:fill="FFFFFF" w:val="clear"/>
              <w:spacing w:before="0" w:after="240"/>
              <w:rPr>
                <w:rFonts w:eastAsia="Times New Roman"/>
                <w:sz w:val="24"/>
              </w:rPr>
            </w:pPr>
            <w:r>
              <w:rPr>
                <w:sz w:val="24"/>
              </w:rPr>
              <w:t xml:space="preserve">Component Partner Name </w:t>
            </w:r>
          </w:p>
        </w:tc>
        <w:tc>
          <w:tcPr>
            <w:tcW w:w="74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KNormal"/>
              <w:shd w:fill="FFFFFF" w:val="clear"/>
              <w:snapToGrid w:val="false"/>
              <w:spacing w:before="0" w:after="240"/>
              <w:rPr>
                <w:rFonts w:eastAsia="Times New Roman"/>
                <w:sz w:val="24"/>
              </w:rPr>
            </w:pPr>
            <w:r>
              <w:rPr>
                <w:rFonts w:eastAsia="Times New Roman"/>
                <w:sz w:val="24"/>
              </w:rPr>
            </w:r>
          </w:p>
        </w:tc>
      </w:tr>
      <w:tr>
        <w:trPr/>
        <w:tc>
          <w:tcPr>
            <w:tcW w:w="2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KNormal"/>
              <w:shd w:fill="FFFFFF" w:val="clear"/>
              <w:spacing w:before="0" w:after="240"/>
              <w:rPr>
                <w:rFonts w:eastAsia="Times New Roman"/>
                <w:sz w:val="24"/>
              </w:rPr>
            </w:pPr>
            <w:r>
              <w:rPr>
                <w:sz w:val="24"/>
              </w:rPr>
              <w:t>Firm name</w:t>
            </w:r>
          </w:p>
        </w:tc>
        <w:tc>
          <w:tcPr>
            <w:tcW w:w="74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KNormal"/>
              <w:shd w:fill="FFFFFF" w:val="clear"/>
              <w:snapToGrid w:val="false"/>
              <w:spacing w:before="0" w:after="240"/>
              <w:rPr>
                <w:rFonts w:eastAsia="Times New Roman"/>
                <w:sz w:val="24"/>
              </w:rPr>
            </w:pPr>
            <w:r>
              <w:rPr>
                <w:rFonts w:eastAsia="Times New Roman"/>
                <w:sz w:val="24"/>
              </w:rPr>
            </w:r>
          </w:p>
        </w:tc>
      </w:tr>
      <w:tr>
        <w:trPr/>
        <w:tc>
          <w:tcPr>
            <w:tcW w:w="2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KNormal"/>
              <w:shd w:fill="FFFFFF" w:val="clear"/>
              <w:spacing w:before="0" w:after="240"/>
              <w:rPr>
                <w:rFonts w:eastAsia="Times New Roman"/>
                <w:sz w:val="24"/>
              </w:rPr>
            </w:pPr>
            <w:r>
              <w:rPr>
                <w:sz w:val="24"/>
              </w:rPr>
              <w:t>Country</w:t>
            </w:r>
          </w:p>
        </w:tc>
        <w:tc>
          <w:tcPr>
            <w:tcW w:w="74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KNormal"/>
              <w:shd w:fill="FFFFFF" w:val="clear"/>
              <w:snapToGrid w:val="false"/>
              <w:spacing w:before="0" w:after="240"/>
              <w:rPr>
                <w:rFonts w:eastAsia="Times New Roman"/>
                <w:sz w:val="24"/>
              </w:rPr>
            </w:pPr>
            <w:r>
              <w:rPr>
                <w:rFonts w:eastAsia="Times New Roman"/>
                <w:sz w:val="24"/>
              </w:rPr>
            </w:r>
          </w:p>
        </w:tc>
      </w:tr>
      <w:tr>
        <w:trPr/>
        <w:tc>
          <w:tcPr>
            <w:tcW w:w="2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KNormal"/>
              <w:shd w:fill="FFFFFF" w:val="clear"/>
              <w:spacing w:before="0" w:after="240"/>
              <w:rPr>
                <w:rFonts w:eastAsia="Times New Roman"/>
                <w:sz w:val="24"/>
              </w:rPr>
            </w:pPr>
            <w:r>
              <w:rPr>
                <w:sz w:val="24"/>
              </w:rPr>
              <w:t>Date</w:t>
            </w:r>
          </w:p>
        </w:tc>
        <w:tc>
          <w:tcPr>
            <w:tcW w:w="74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KNormal"/>
              <w:shd w:fill="FFFFFF" w:val="clear"/>
              <w:snapToGrid w:val="false"/>
              <w:spacing w:before="0" w:after="240"/>
              <w:rPr>
                <w:rFonts w:eastAsia="Times New Roman"/>
                <w:sz w:val="24"/>
              </w:rPr>
            </w:pPr>
            <w:r>
              <w:rPr>
                <w:rFonts w:eastAsia="Times New Roman"/>
                <w:sz w:val="24"/>
              </w:rPr>
            </w:r>
          </w:p>
        </w:tc>
      </w:tr>
    </w:tbl>
    <w:p>
      <w:pPr>
        <w:pStyle w:val="StyleJustifi"/>
        <w:rPr>
          <w:lang w:val="en-GB"/>
        </w:rPr>
      </w:pPr>
      <w:r>
        <w:rPr>
          <w:lang w:val="en-GB"/>
        </w:rPr>
      </w:r>
    </w:p>
    <w:p>
      <w:pPr>
        <w:pStyle w:val="StyleJustifi"/>
        <w:rPr>
          <w:lang w:val="en-GB"/>
        </w:rPr>
      </w:pPr>
      <w:r>
        <w:rPr>
          <w:lang w:val="en-GB"/>
        </w:rPr>
      </w:r>
    </w:p>
    <w:p>
      <w:pPr>
        <w:pStyle w:val="StyleJustifi"/>
        <w:rPr>
          <w:lang w:val="en-GB"/>
        </w:rPr>
      </w:pPr>
      <w:r>
        <w:rPr>
          <w:lang w:val="en-GB"/>
        </w:rPr>
      </w:r>
    </w:p>
    <w:p>
      <w:pPr>
        <w:pStyle w:val="StyleJustifi"/>
        <w:spacing w:before="0" w:after="120"/>
        <w:rPr>
          <w:lang w:val="en-GB"/>
        </w:rPr>
      </w:pPr>
      <w:r>
        <w:rPr>
          <w:lang w:val="en-GB"/>
        </w:rPr>
      </w:r>
    </w:p>
    <w:sectPr>
      <w:headerReference w:type="default" r:id="rId2"/>
      <w:footerReference w:type="default" r:id="rId3"/>
      <w:type w:val="nextPage"/>
      <w:pgSz w:w="11906" w:h="16838"/>
      <w:pgMar w:left="1418" w:right="1418" w:gutter="0" w:header="709" w:top="1418" w:footer="709" w:bottom="1418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iso-8859-1"/>
    <w:family w:val="roman"/>
    <w:pitch w:val="variable"/>
  </w:font>
  <w:font w:name="Wingdings">
    <w:charset w:val="02"/>
    <w:family w:val="auto"/>
    <w:pitch w:val="variable"/>
  </w:font>
  <w:font w:name="Courier New">
    <w:charset w:val="00" w:characterSet="windows-1252"/>
    <w:family w:val="modern"/>
    <w:pitch w:val="default"/>
  </w:font>
  <w:font w:name="Tahoma">
    <w:charset w:val="00" w:characterSet="windows-1252"/>
    <w:family w:val="swiss"/>
    <w:pitch w:val="variable"/>
  </w:font>
  <w:font w:name="Liberation Sans">
    <w:altName w:val="Arial"/>
    <w:charset w:val="00" w:characterSet="iso-8859-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end="360"/>
      <w:rPr/>
    </w:pPr>
    <w:r>
      <w:rPr/>
    </w:r>
    <w:r>
      <mc:AlternateContent>
        <mc:Choice Requires="wps">
          <w:drawing>
            <wp:anchor behindDoc="0" distT="0" distB="0" distL="0" distR="0" simplePos="0" locked="0" layoutInCell="0" allowOverlap="1" relativeHeight="3">
              <wp:simplePos x="0" y="0"/>
              <wp:positionH relativeFrom="margin">
                <wp:align>right</wp:align>
              </wp:positionH>
              <wp:positionV relativeFrom="paragraph">
                <wp:posOffset>635</wp:posOffset>
              </wp:positionV>
              <wp:extent cx="195580" cy="175260"/>
              <wp:effectExtent l="0" t="0" r="0" b="0"/>
              <wp:wrapSquare wrapText="bothSides"/>
              <wp:docPr id="2" name="Frame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95580" cy="175260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ooter"/>
                            <w:rPr>
                              <w:rStyle w:val="PageNumber"/>
                            </w:rPr>
                          </w:pPr>
                          <w:r>
                            <w:rPr>
                              <w:rStyle w:val="PageNumber"/>
                            </w:rPr>
                            <w:fldChar w:fldCharType="begin"/>
                          </w:r>
                          <w:r>
                            <w:rPr>
                              <w:rStyle w:val="PageNumber"/>
                            </w:rPr>
                            <w:instrText xml:space="preserve"> PAGE </w:instrText>
                          </w:r>
                          <w:r>
                            <w:rPr>
                              <w:rStyle w:val="PageNumber"/>
                            </w:rPr>
                            <w:fldChar w:fldCharType="separate"/>
                          </w:r>
                          <w:r>
                            <w:rPr>
                              <w:rStyle w:val="PageNumber"/>
                            </w:rPr>
                            <w:t>2</w:t>
                          </w:r>
                          <w:r>
                            <w:rPr>
                              <w:rStyle w:val="PageNumber"/>
                            </w:rPr>
                            <w:fldChar w:fldCharType="end"/>
                          </w:r>
                          <w:r>
                            <w:rPr>
                              <w:rStyle w:val="PageNumber"/>
                            </w:rPr>
                            <w:t>/</w:t>
                          </w:r>
                          <w:r>
                            <w:rPr>
                              <w:rStyle w:val="PageNumber"/>
                            </w:rPr>
                            <w:fldChar w:fldCharType="begin"/>
                          </w:r>
                          <w:r>
                            <w:rPr>
                              <w:rStyle w:val="PageNumber"/>
                            </w:rPr>
                            <w:instrText xml:space="preserve"> NUMPAGES \* ARABIC </w:instrText>
                          </w:r>
                          <w:r>
                            <w:rPr>
                              <w:rStyle w:val="PageNumber"/>
                            </w:rPr>
                            <w:fldChar w:fldCharType="separate"/>
                          </w:r>
                          <w:r>
                            <w:rPr>
                              <w:rStyle w:val="PageNumber"/>
                            </w:rPr>
                            <w:t>2</w:t>
                          </w:r>
                          <w:r>
                            <w:rPr>
                              <w:rStyle w:val="PageNumber"/>
                            </w:rPr>
                            <w:fldChar w:fldCharType="end"/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15.4pt;height:13.8pt;mso-wrap-distance-left:0pt;mso-wrap-distance-right:0pt;mso-wrap-distance-top:0pt;mso-wrap-distance-bottom:0pt;margin-top:0.05pt;mso-position-vertical-relative:text;margin-left:438.1pt;mso-position-horizontal:right;mso-position-horizontal-relative:margin">
              <v:fill opacity="0f"/>
              <v:textbox inset="0in,0in,0in,0in">
                <w:txbxContent>
                  <w:p>
                    <w:pPr>
                      <w:pStyle w:val="Footer"/>
                      <w:rPr>
                        <w:rStyle w:val="PageNumber"/>
                      </w:rPr>
                    </w:pPr>
                    <w:r>
                      <w:rPr>
                        <w:rStyle w:val="PageNumber"/>
                      </w:rPr>
                      <w:fldChar w:fldCharType="begin"/>
                    </w:r>
                    <w:r>
                      <w:rPr>
                        <w:rStyle w:val="PageNumber"/>
                      </w:rPr>
                      <w:instrText xml:space="preserve"> PAGE </w:instrText>
                    </w:r>
                    <w:r>
                      <w:rPr>
                        <w:rStyle w:val="PageNumber"/>
                      </w:rPr>
                      <w:fldChar w:fldCharType="separate"/>
                    </w:r>
                    <w:r>
                      <w:rPr>
                        <w:rStyle w:val="PageNumber"/>
                      </w:rPr>
                      <w:t>2</w:t>
                    </w:r>
                    <w:r>
                      <w:rPr>
                        <w:rStyle w:val="PageNumber"/>
                      </w:rPr>
                      <w:fldChar w:fldCharType="end"/>
                    </w:r>
                    <w:r>
                      <w:rPr>
                        <w:rStyle w:val="PageNumber"/>
                      </w:rPr>
                      <w:t>/</w:t>
                    </w:r>
                    <w:r>
                      <w:rPr>
                        <w:rStyle w:val="PageNumber"/>
                      </w:rPr>
                      <w:fldChar w:fldCharType="begin"/>
                    </w:r>
                    <w:r>
                      <w:rPr>
                        <w:rStyle w:val="PageNumber"/>
                      </w:rPr>
                      <w:instrText xml:space="preserve"> NUMPAGES \* ARABIC </w:instrText>
                    </w:r>
                    <w:r>
                      <w:rPr>
                        <w:rStyle w:val="PageNumber"/>
                      </w:rPr>
                      <w:fldChar w:fldCharType="separate"/>
                    </w:r>
                    <w:r>
                      <w:rPr>
                        <w:rStyle w:val="PageNumber"/>
                      </w:rPr>
                      <w:t>2</w:t>
                    </w:r>
                    <w:r>
                      <w:rPr>
                        <w:rStyle w:val="PageNumber"/>
                      </w:rPr>
                      <w:fldChar w:fldCharType="end"/>
                    </w:r>
                  </w:p>
                </w:txbxContent>
              </v:textbox>
              <w10:wrap type="square"/>
            </v:rect>
          </w:pict>
        </mc:Fallback>
      </mc:AlternateConten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Kheading2Append2"/>
      <w:widowControl w:val="false"/>
      <w:shd w:fill="FFFFFF" w:val="clear"/>
      <w:ind w:hanging="3540" w:start="3540" w:end="0"/>
      <w:jc w:val="end"/>
      <w:rPr>
        <w:rFonts w:ascii="Times New Roman" w:hAnsi="Times New Roman" w:cs="Times New Roman"/>
        <w:sz w:val="24"/>
      </w:rPr>
    </w:pPr>
    <w:r>
      <w:rPr>
        <w:rFonts w:cs="Times New Roman" w:ascii="Times New Roman" w:hAnsi="Times New Roman"/>
        <w:sz w:val="24"/>
        <w:lang w:val="en-US" w:eastAsia="en-US"/>
      </w:rPr>
      <w:drawing>
        <wp:inline distT="0" distB="0" distL="0" distR="0">
          <wp:extent cx="1292225" cy="694690"/>
          <wp:effectExtent l="0" t="0" r="0" b="0"/>
          <wp:docPr id="1" name="Image1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" descr="" titl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28" t="-52" r="-28" b="-52"/>
                  <a:stretch>
                    <a:fillRect/>
                  </a:stretch>
                </pic:blipFill>
                <pic:spPr bwMode="auto">
                  <a:xfrm>
                    <a:off x="0" y="0"/>
                    <a:ext cx="1292225" cy="69469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pStyle w:val="Kheading2Append2"/>
      <w:widowControl w:val="false"/>
      <w:shd w:fill="FFFFFF" w:val="clear"/>
      <w:ind w:hanging="3540" w:start="3540" w:end="0"/>
      <w:rPr>
        <w:rFonts w:ascii="Times New Roman" w:hAnsi="Times New Roman" w:cs="Times New Roman"/>
        <w:sz w:val="24"/>
      </w:rPr>
    </w:pPr>
    <w:r>
      <w:rPr>
        <w:rFonts w:cs="Times New Roman" w:ascii="Times New Roman" w:hAnsi="Times New Roman"/>
        <w:sz w:val="24"/>
      </w:rPr>
      <w:t xml:space="preserve">Instructions - Appendix F </w:t>
      <w:tab/>
      <w:t>Subsequent events letter (for group reporting purposes)</w:t>
    </w:r>
  </w:p>
  <w:p>
    <w:pPr>
      <w:pStyle w:val="Header"/>
      <w:rPr>
        <w:rFonts w:ascii="Times New Roman" w:hAnsi="Times New Roman" w:cs="Times New Roman"/>
        <w:sz w:val="24"/>
        <w:lang w:val="en-US"/>
      </w:rPr>
    </w:pPr>
    <w:r>
      <w:rPr>
        <w:rFonts w:cs="Times New Roman"/>
        <w:sz w:val="24"/>
        <w:lang w:val="en-US"/>
      </w:rPr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decimal"/>
      <w:lvlText w:val="%1"/>
      <w:lvlJc w:val="start"/>
      <w:pPr>
        <w:tabs>
          <w:tab w:val="num" w:pos="432"/>
        </w:tabs>
        <w:ind w:start="432" w:hanging="432"/>
      </w:pPr>
      <w:rPr/>
    </w:lvl>
    <w:lvl w:ilvl="1">
      <w:start w:val="1"/>
      <w:pStyle w:val="Heading2"/>
      <w:numFmt w:val="decimal"/>
      <w:lvlText w:val="%1.%2"/>
      <w:lvlJc w:val="start"/>
      <w:pPr>
        <w:tabs>
          <w:tab w:val="num" w:pos="576"/>
        </w:tabs>
        <w:ind w:start="576" w:hanging="576"/>
      </w:pPr>
      <w:rPr/>
    </w:lvl>
    <w:lvl w:ilvl="2">
      <w:start w:val="1"/>
      <w:pStyle w:val="Heading3"/>
      <w:numFmt w:val="decimal"/>
      <w:lvlText w:val="%1.%2.%3"/>
      <w:lvlJc w:val="start"/>
      <w:pPr>
        <w:tabs>
          <w:tab w:val="num" w:pos="720"/>
        </w:tabs>
        <w:ind w:start="720" w:hanging="720"/>
      </w:pPr>
      <w:rPr/>
    </w:lvl>
    <w:lvl w:ilvl="3">
      <w:start w:val="1"/>
      <w:pStyle w:val="Heading4"/>
      <w:numFmt w:val="decimal"/>
      <w:lvlText w:val="%1.%2.%3.%4"/>
      <w:lvlJc w:val="start"/>
      <w:pPr>
        <w:tabs>
          <w:tab w:val="num" w:pos="864"/>
        </w:tabs>
        <w:ind w:start="864" w:hanging="864"/>
      </w:pPr>
      <w:rPr/>
    </w:lvl>
    <w:lvl w:ilvl="4">
      <w:start w:val="1"/>
      <w:pStyle w:val="Heading5"/>
      <w:numFmt w:val="lowerLetter"/>
      <w:lvlText w:val="%5)."/>
      <w:lvlJc w:val="start"/>
      <w:pPr>
        <w:tabs>
          <w:tab w:val="num" w:pos="1008"/>
        </w:tabs>
        <w:ind w:start="1008" w:hanging="1008"/>
      </w:pPr>
      <w:rPr>
        <w:sz w:val="24"/>
        <w:i w:val="false"/>
        <w:b/>
      </w:rPr>
    </w:lvl>
    <w:lvl w:ilvl="5">
      <w:start w:val="1"/>
      <w:pStyle w:val="Heading6"/>
      <w:numFmt w:val="decimal"/>
      <w:lvlText w:val="%5.%6)."/>
      <w:lvlJc w:val="start"/>
      <w:pPr>
        <w:tabs>
          <w:tab w:val="num" w:pos="1152"/>
        </w:tabs>
        <w:ind w:start="1152" w:hanging="1152"/>
      </w:pPr>
      <w:rPr>
        <w:sz w:val="24"/>
        <w:i w:val="false"/>
        <w:b w:val="false"/>
        <w:rFonts w:ascii="Times New Roman" w:hAnsi="Times New Roman" w:cs="Times New Roman"/>
      </w:rPr>
    </w:lvl>
    <w:lvl w:ilvl="6">
      <w:start w:val="1"/>
      <w:numFmt w:val="decimal"/>
      <w:lvlText w:val="%1.%2.%3.%4.%5.%6.%7"/>
      <w:lvlJc w:val="start"/>
      <w:pPr>
        <w:tabs>
          <w:tab w:val="num" w:pos="1296"/>
        </w:tabs>
        <w:ind w:start="1296" w:hanging="1296"/>
      </w:pPr>
      <w:rPr/>
    </w:lvl>
    <w:lvl w:ilvl="7">
      <w:start w:val="1"/>
      <w:numFmt w:val="decimal"/>
      <w:lvlText w:val="%1.%2.%3.%4.%5.%6.%7.%8"/>
      <w:lvlJc w:val="start"/>
      <w:pPr>
        <w:tabs>
          <w:tab w:val="num" w:pos="1440"/>
        </w:tabs>
        <w:ind w:start="1440" w:hanging="1440"/>
      </w:pPr>
      <w:rPr/>
    </w:lvl>
    <w:lvl w:ilvl="8">
      <w:start w:val="1"/>
      <w:numFmt w:val="decimal"/>
      <w:lvlText w:val="%1.%2.%3.%4.%5.%6.%7.%8.%9"/>
      <w:lvlJc w:val="start"/>
      <w:pPr>
        <w:tabs>
          <w:tab w:val="num" w:pos="1584"/>
        </w:tabs>
        <w:ind w:start="1584" w:hanging="1584"/>
      </w:pPr>
      <w:rPr/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맑은 고딕" w:cs="Times New Roman"/>
      <w:color w:val="auto"/>
      <w:sz w:val="24"/>
      <w:szCs w:val="24"/>
      <w:lang w:val="fr-FR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spacing w:before="240" w:after="60"/>
      <w:jc w:val="both"/>
      <w:outlineLvl w:val="0"/>
    </w:pPr>
    <w:rPr>
      <w:rFonts w:ascii="Arial" w:hAnsi="Arial" w:cs="Arial"/>
      <w:b/>
      <w:bCs/>
      <w:caps/>
      <w:color w:val="333399"/>
      <w:kern w:val="2"/>
      <w:szCs w:val="32"/>
    </w:rPr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spacing w:before="240" w:after="60"/>
      <w:jc w:val="both"/>
      <w:outlineLvl w:val="1"/>
    </w:pPr>
    <w:rPr>
      <w:rFonts w:ascii="Arial" w:hAnsi="Arial" w:cs="Arial"/>
      <w:b/>
      <w:bCs/>
      <w:i/>
      <w:iCs/>
      <w:caps/>
      <w:color w:val="000000"/>
      <w:szCs w:val="28"/>
    </w:rPr>
  </w:style>
  <w:style w:type="paragraph" w:styleId="Heading3">
    <w:name w:val="Heading 3"/>
    <w:basedOn w:val="Normal"/>
    <w:next w:val="Normal"/>
    <w:qFormat/>
    <w:pPr>
      <w:keepNext w:val="true"/>
      <w:numPr>
        <w:ilvl w:val="2"/>
        <w:numId w:val="1"/>
      </w:numPr>
      <w:spacing w:before="240" w:after="60"/>
      <w:jc w:val="both"/>
      <w:outlineLvl w:val="2"/>
    </w:pPr>
    <w:rPr>
      <w:rFonts w:ascii="Arial" w:hAnsi="Arial" w:cs="Arial"/>
      <w:b/>
      <w:bCs/>
      <w:color w:val="000080"/>
      <w:szCs w:val="26"/>
    </w:rPr>
  </w:style>
  <w:style w:type="paragraph" w:styleId="Heading4">
    <w:name w:val="Heading 4"/>
    <w:basedOn w:val="Normal"/>
    <w:next w:val="Normal"/>
    <w:qFormat/>
    <w:pPr>
      <w:keepNext w:val="true"/>
      <w:numPr>
        <w:ilvl w:val="3"/>
        <w:numId w:val="1"/>
      </w:numPr>
      <w:spacing w:before="240" w:after="60"/>
      <w:jc w:val="both"/>
      <w:outlineLvl w:val="3"/>
    </w:pPr>
    <w:rPr>
      <w:b/>
      <w:bCs/>
      <w:i/>
      <w:color w:val="000000"/>
      <w:szCs w:val="28"/>
    </w:rPr>
  </w:style>
  <w:style w:type="paragraph" w:styleId="Heading5">
    <w:name w:val="Heading 5"/>
    <w:basedOn w:val="Normal"/>
    <w:next w:val="Normal"/>
    <w:qFormat/>
    <w:pPr>
      <w:numPr>
        <w:ilvl w:val="4"/>
        <w:numId w:val="1"/>
      </w:numPr>
      <w:tabs>
        <w:tab w:val="clear" w:pos="708"/>
        <w:tab w:val="left" w:pos="567" w:leader="none"/>
      </w:tabs>
      <w:spacing w:before="240" w:after="60"/>
      <w:outlineLvl w:val="4"/>
    </w:pPr>
    <w:rPr>
      <w:bCs/>
      <w:iCs/>
      <w:szCs w:val="26"/>
    </w:rPr>
  </w:style>
  <w:style w:type="paragraph" w:styleId="Heading6">
    <w:name w:val="Heading 6"/>
    <w:basedOn w:val="Normal"/>
    <w:next w:val="Normal"/>
    <w:qFormat/>
    <w:pPr>
      <w:numPr>
        <w:ilvl w:val="5"/>
        <w:numId w:val="1"/>
      </w:numPr>
      <w:tabs>
        <w:tab w:val="clear" w:pos="708"/>
        <w:tab w:val="left" w:pos="567" w:leader="none"/>
      </w:tabs>
      <w:spacing w:before="240" w:after="60"/>
      <w:outlineLvl w:val="5"/>
    </w:pPr>
    <w:rPr>
      <w:bCs/>
      <w:szCs w:val="22"/>
    </w:rPr>
  </w:style>
  <w:style w:type="character" w:styleId="WW8Num1z0">
    <w:name w:val="WW8Num1z0"/>
    <w:qFormat/>
    <w:rPr>
      <w:rFonts w:ascii="Times New Roman" w:hAnsi="Times New Roman" w:cs="Times New Roman"/>
    </w:rPr>
  </w:style>
  <w:style w:type="character" w:styleId="WW8Num1z1">
    <w:name w:val="WW8Num1z1"/>
    <w:qFormat/>
    <w:rPr>
      <w:sz w:val="24"/>
    </w:rPr>
  </w:style>
  <w:style w:type="character" w:styleId="WW8Num1z2">
    <w:name w:val="WW8Num1z2"/>
    <w:qFormat/>
    <w:rPr>
      <w:rFonts w:ascii="Wingdings" w:hAnsi="Wingdings" w:cs="Wingdings"/>
    </w:rPr>
  </w:style>
  <w:style w:type="character" w:styleId="WW8Num1z3">
    <w:name w:val="WW8Num1z3"/>
    <w:qFormat/>
    <w:rPr>
      <w:rFonts w:ascii="Symbol" w:hAnsi="Symbol" w:cs="Symbol"/>
    </w:rPr>
  </w:style>
  <w:style w:type="character" w:styleId="WW8Num1z4">
    <w:name w:val="WW8Num1z4"/>
    <w:qFormat/>
    <w:rPr>
      <w:rFonts w:ascii="Courier New" w:hAnsi="Courier New" w:cs="Courier New"/>
    </w:rPr>
  </w:style>
  <w:style w:type="character" w:styleId="WW8Num2z0">
    <w:name w:val="WW8Num2z0"/>
    <w:qFormat/>
    <w:rPr>
      <w:rFonts w:ascii="Symbol" w:hAnsi="Symbol" w:cs="Symbol"/>
      <w:sz w:val="18"/>
    </w:rPr>
  </w:style>
  <w:style w:type="character" w:styleId="WW8Num2z1">
    <w:name w:val="WW8Num2z1"/>
    <w:qFormat/>
    <w:rPr>
      <w:rFonts w:ascii="Courier New" w:hAnsi="Courier New" w:cs="Courier New"/>
    </w:rPr>
  </w:style>
  <w:style w:type="character" w:styleId="WW8Num2z2">
    <w:name w:val="WW8Num2z2"/>
    <w:qFormat/>
    <w:rPr>
      <w:rFonts w:ascii="Wingdings" w:hAnsi="Wingdings" w:cs="Wingdings"/>
    </w:rPr>
  </w:style>
  <w:style w:type="character" w:styleId="WW8Num2z3">
    <w:name w:val="WW8Num2z3"/>
    <w:qFormat/>
    <w:rPr>
      <w:rFonts w:ascii="Symbol" w:hAnsi="Symbol" w:cs="Symbol"/>
    </w:rPr>
  </w:style>
  <w:style w:type="character" w:styleId="WW8Num3z0">
    <w:name w:val="WW8Num3z0"/>
    <w:qFormat/>
    <w:rPr/>
  </w:style>
  <w:style w:type="character" w:styleId="WW8Num4z0">
    <w:name w:val="WW8Num4z0"/>
    <w:qFormat/>
    <w:rPr/>
  </w:style>
  <w:style w:type="character" w:styleId="WW8Num4z4">
    <w:name w:val="WW8Num4z4"/>
    <w:qFormat/>
    <w:rPr>
      <w:b/>
      <w:i w:val="false"/>
      <w:sz w:val="24"/>
    </w:rPr>
  </w:style>
  <w:style w:type="character" w:styleId="WW8Num4z5">
    <w:name w:val="WW8Num4z5"/>
    <w:qFormat/>
    <w:rPr>
      <w:rFonts w:ascii="Times New Roman" w:hAnsi="Times New Roman" w:cs="Times New Roman"/>
      <w:b w:val="false"/>
      <w:i w:val="false"/>
      <w:sz w:val="24"/>
    </w:rPr>
  </w:style>
  <w:style w:type="character" w:styleId="WW8Num5z0">
    <w:name w:val="WW8Num5z0"/>
    <w:qFormat/>
    <w:rPr>
      <w:rFonts w:ascii="Symbol" w:hAnsi="Symbol" w:cs="Symbol"/>
      <w:sz w:val="24"/>
    </w:rPr>
  </w:style>
  <w:style w:type="character" w:styleId="WW8Num5z1">
    <w:name w:val="WW8Num5z1"/>
    <w:qFormat/>
    <w:rPr/>
  </w:style>
  <w:style w:type="character" w:styleId="WW8Num5z2">
    <w:name w:val="WW8Num5z2"/>
    <w:qFormat/>
    <w:rPr>
      <w:rFonts w:ascii="Times New Roman" w:hAnsi="Times New Roman" w:eastAsia="Times New Roman" w:cs="Times New Roman"/>
    </w:rPr>
  </w:style>
  <w:style w:type="character" w:styleId="WW8Num5z3">
    <w:name w:val="WW8Num5z3"/>
    <w:qFormat/>
    <w:rPr>
      <w:rFonts w:ascii="Arial" w:hAnsi="Arial" w:cs="Arial"/>
    </w:rPr>
  </w:style>
  <w:style w:type="character" w:styleId="WW8Num5z4">
    <w:name w:val="WW8Num5z4"/>
    <w:qFormat/>
    <w:rPr>
      <w:rFonts w:ascii="Wingdings" w:hAnsi="Wingdings" w:cs="Wingdings"/>
    </w:rPr>
  </w:style>
  <w:style w:type="character" w:styleId="WW8Num5z6">
    <w:name w:val="WW8Num5z6"/>
    <w:qFormat/>
    <w:rPr>
      <w:rFonts w:ascii="Symbol" w:hAnsi="Symbol" w:cs="Symbol"/>
    </w:rPr>
  </w:style>
  <w:style w:type="character" w:styleId="WW8Num5z7">
    <w:name w:val="WW8Num5z7"/>
    <w:qFormat/>
    <w:rPr>
      <w:rFonts w:ascii="Courier New" w:hAnsi="Courier New" w:cs="Courier New"/>
    </w:rPr>
  </w:style>
  <w:style w:type="character" w:styleId="Style8">
    <w:name w:val="기본 단락 글꼴"/>
    <w:qFormat/>
    <w:rPr/>
  </w:style>
  <w:style w:type="character" w:styleId="StyleJustifiCar">
    <w:name w:val="Style Justifié Car"/>
    <w:qFormat/>
    <w:rPr>
      <w:sz w:val="24"/>
      <w:lang w:val="fr-FR" w:bidi="ar-SA"/>
    </w:rPr>
  </w:style>
  <w:style w:type="character" w:styleId="Char">
    <w:name w:val="풍선 도움말 텍스트 Char"/>
    <w:qFormat/>
    <w:rPr>
      <w:rFonts w:ascii="Tahoma" w:hAnsi="Tahoma" w:cs="Tahoma"/>
      <w:sz w:val="16"/>
      <w:szCs w:val="16"/>
    </w:rPr>
  </w:style>
  <w:style w:type="character" w:styleId="Kheading2Append2Char">
    <w:name w:val="Kheading2 Append 2 Char"/>
    <w:qFormat/>
    <w:rPr>
      <w:rFonts w:ascii="Arial" w:hAnsi="Arial" w:eastAsia="Calibri" w:cs="Arial"/>
      <w:b/>
      <w:sz w:val="28"/>
      <w:szCs w:val="24"/>
      <w:lang w:val="en-US" w:bidi="ar-SA"/>
    </w:rPr>
  </w:style>
  <w:style w:type="character" w:styleId="Char1">
    <w:name w:val="머리글 Char"/>
    <w:qFormat/>
    <w:rPr>
      <w:sz w:val="24"/>
      <w:szCs w:val="24"/>
      <w:lang w:val="fr-FR" w:bidi="ar-SA"/>
    </w:rPr>
  </w:style>
  <w:style w:type="character" w:styleId="Char2">
    <w:name w:val="각주 텍스트 Char"/>
    <w:qFormat/>
    <w:rPr>
      <w:rFonts w:eastAsia="Calibri"/>
      <w:lang w:val="fr-FR" w:bidi="ar-SA"/>
    </w:rPr>
  </w:style>
  <w:style w:type="character" w:styleId="FootnoteCharacters">
    <w:name w:val="Footnote Characters"/>
    <w:qFormat/>
    <w:rPr>
      <w:rFonts w:cs="Times New Roman"/>
      <w:vertAlign w:val="superscript"/>
    </w:rPr>
  </w:style>
  <w:style w:type="character" w:styleId="PageNumber">
    <w:name w:val="Page Number"/>
    <w:basedOn w:val="Style8"/>
    <w:rPr/>
  </w:style>
  <w:style w:type="character" w:styleId="KNormalChar">
    <w:name w:val="KNormal Char"/>
    <w:qFormat/>
    <w:rPr>
      <w:rFonts w:eastAsia="Calibri"/>
      <w:sz w:val="22"/>
      <w:szCs w:val="24"/>
      <w:lang w:val="en-US" w:bidi="ar-SA"/>
    </w:rPr>
  </w:style>
  <w:style w:type="character" w:styleId="Style9">
    <w:name w:val="메모 참조"/>
    <w:qFormat/>
    <w:rPr>
      <w:sz w:val="16"/>
      <w:szCs w:val="16"/>
    </w:rPr>
  </w:style>
  <w:style w:type="character" w:styleId="Char3">
    <w:name w:val="메모 텍스트 Char"/>
    <w:qFormat/>
    <w:rPr>
      <w:lang w:val="fr-FR"/>
    </w:rPr>
  </w:style>
  <w:style w:type="character" w:styleId="Char4">
    <w:name w:val="메모 주제 Char"/>
    <w:qFormat/>
    <w:rPr>
      <w:b/>
      <w:bCs/>
      <w:lang w:val="fr-FR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StyleJustifi">
    <w:name w:val="Style Justifié"/>
    <w:basedOn w:val="Normal"/>
    <w:qFormat/>
    <w:pPr>
      <w:spacing w:before="0" w:after="120"/>
      <w:jc w:val="both"/>
    </w:pPr>
    <w:rPr>
      <w:szCs w:val="20"/>
    </w:rPr>
  </w:style>
  <w:style w:type="paragraph" w:styleId="StyleStyleJustifiItalique">
    <w:name w:val="Style Style Justifié + Italique"/>
    <w:basedOn w:val="StyleJustifi"/>
    <w:qFormat/>
    <w:pPr/>
    <w:rPr>
      <w:i/>
      <w:iCs/>
    </w:rPr>
  </w:style>
  <w:style w:type="paragraph" w:styleId="StyleRougeJustifi">
    <w:name w:val="Style Rouge Justifié"/>
    <w:basedOn w:val="Normal"/>
    <w:qFormat/>
    <w:pPr>
      <w:shd w:fill="C0C0C0" w:val="clear"/>
      <w:jc w:val="both"/>
    </w:pPr>
    <w:rPr>
      <w:color w:val="FF0000"/>
      <w:szCs w:val="20"/>
    </w:rPr>
  </w:style>
  <w:style w:type="paragraph" w:styleId="HeaderandFooter">
    <w:name w:val="Header and Footer"/>
    <w:basedOn w:val="Normal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08"/>
        <w:tab w:val="center" w:pos="4536" w:leader="none"/>
        <w:tab w:val="right" w:pos="9072" w:leader="none"/>
      </w:tabs>
    </w:pPr>
    <w:rPr/>
  </w:style>
  <w:style w:type="paragraph" w:styleId="Footer">
    <w:name w:val="Footer"/>
    <w:basedOn w:val="Normal"/>
    <w:pPr>
      <w:tabs>
        <w:tab w:val="clear" w:pos="708"/>
        <w:tab w:val="center" w:pos="4536" w:leader="none"/>
        <w:tab w:val="right" w:pos="9072" w:leader="none"/>
      </w:tabs>
    </w:pPr>
    <w:rPr/>
  </w:style>
  <w:style w:type="paragraph" w:styleId="Style10">
    <w:name w:val="풍선 도움말 텍스트"/>
    <w:basedOn w:val="Normal"/>
    <w:qFormat/>
    <w:pPr/>
    <w:rPr>
      <w:rFonts w:ascii="Tahoma" w:hAnsi="Tahoma" w:cs="Tahoma"/>
      <w:sz w:val="16"/>
      <w:szCs w:val="16"/>
      <w:lang w:val="en-US"/>
    </w:rPr>
  </w:style>
  <w:style w:type="paragraph" w:styleId="Kheading2Append2">
    <w:name w:val="Kheading2 Append 2"/>
    <w:basedOn w:val="Normal"/>
    <w:qFormat/>
    <w:pPr>
      <w:pageBreakBefore/>
      <w:tabs>
        <w:tab w:val="clear" w:pos="708"/>
        <w:tab w:val="left" w:pos="1267" w:leader="none"/>
      </w:tabs>
      <w:spacing w:before="0" w:after="240"/>
      <w:ind w:hanging="1267" w:start="1267" w:end="0"/>
      <w:outlineLvl w:val="1"/>
    </w:pPr>
    <w:rPr>
      <w:rFonts w:ascii="Arial" w:hAnsi="Arial" w:eastAsia="Calibri" w:cs="Arial"/>
      <w:b/>
      <w:sz w:val="28"/>
      <w:lang w:val="en-US"/>
    </w:rPr>
  </w:style>
  <w:style w:type="paragraph" w:styleId="FootnoteText">
    <w:name w:val="Footnote Text"/>
    <w:basedOn w:val="Normal"/>
    <w:pPr/>
    <w:rPr>
      <w:rFonts w:eastAsia="Calibri"/>
      <w:sz w:val="20"/>
      <w:szCs w:val="20"/>
    </w:rPr>
  </w:style>
  <w:style w:type="paragraph" w:styleId="KNormal">
    <w:name w:val="KNormal"/>
    <w:basedOn w:val="Normal"/>
    <w:qFormat/>
    <w:pPr>
      <w:spacing w:before="0" w:after="240"/>
    </w:pPr>
    <w:rPr>
      <w:rFonts w:eastAsia="Calibri"/>
      <w:sz w:val="22"/>
      <w:lang w:val="en-US"/>
    </w:rPr>
  </w:style>
  <w:style w:type="paragraph" w:styleId="KAppendixSubHeading1a">
    <w:name w:val="KAppendixSubHeading1a"/>
    <w:basedOn w:val="KNormal"/>
    <w:qFormat/>
    <w:pPr>
      <w:keepNext w:val="true"/>
      <w:tabs>
        <w:tab w:val="clear" w:pos="708"/>
        <w:tab w:val="left" w:pos="720" w:leader="none"/>
      </w:tabs>
      <w:spacing w:before="240" w:after="240"/>
      <w:ind w:hanging="720" w:start="720" w:end="0"/>
    </w:pPr>
    <w:rPr>
      <w:rFonts w:ascii="Arial" w:hAnsi="Arial" w:cs="Arial"/>
      <w:b/>
      <w:sz w:val="20"/>
    </w:rPr>
  </w:style>
  <w:style w:type="paragraph" w:styleId="Style11">
    <w:name w:val="메모 텍스트"/>
    <w:basedOn w:val="Normal"/>
    <w:qFormat/>
    <w:pPr/>
    <w:rPr>
      <w:sz w:val="20"/>
      <w:szCs w:val="20"/>
    </w:rPr>
  </w:style>
  <w:style w:type="paragraph" w:styleId="Style12">
    <w:name w:val="메모 주제"/>
    <w:basedOn w:val="Style11"/>
    <w:next w:val="Style11"/>
    <w:qFormat/>
    <w:pPr/>
    <w:rPr>
      <w:b/>
      <w:bCs/>
    </w:rPr>
  </w:style>
  <w:style w:type="paragraph" w:styleId="Style13">
    <w:name w:val="수정"/>
    <w:qFormat/>
    <w:pPr>
      <w:widowControl/>
      <w:bidi w:val="0"/>
    </w:pPr>
    <w:rPr>
      <w:rFonts w:ascii="Times New Roman" w:hAnsi="Times New Roman" w:eastAsia="맑은 고딕" w:cs="Times New Roman"/>
      <w:color w:val="auto"/>
      <w:sz w:val="24"/>
      <w:szCs w:val="24"/>
      <w:lang w:val="fr-FR" w:bidi="ar-SA" w:eastAsia="zh-CN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FrameContents">
    <w:name w:val="Frame Contents"/>
    <w:basedOn w:val="Normal"/>
    <w:qFormat/>
    <w:pPr/>
    <w:rPr/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2018-07-16T09:06:00Z</dcterms:created>
  <dc:creator>Pam Wessels</dc:creator>
  <dc:description/>
  <cp:keywords/>
  <dc:language>en-US</dc:language>
  <cp:lastModifiedBy>Hyun-Ho Shim</cp:lastModifiedBy>
  <cp:lastPrinted>2011-10-10T11:25:00Z</cp:lastPrinted>
  <dcterms:modified xsi:type="dcterms:W3CDTF">2025-01-13T06:31:00Z</dcterms:modified>
  <cp:revision>6</cp:revision>
  <dc:subject/>
  <dc:title/>
</cp:coreProperties>
</file>