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1" w:tblpX="5" w:tblpY="2787"/>
        <w:tblW w:w="99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7"/>
        <w:gridCol w:w="4739"/>
        <w:gridCol w:w="938"/>
      </w:tblGrid>
      <w:tr>
        <w:trPr/>
        <w:tc>
          <w:tcPr>
            <w:tcW w:w="427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Hyun-Ho Shim – Group Engagement Partner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  <w:tc>
          <w:tcPr>
            <w:tcW w:w="5677" w:type="dxa"/>
            <w:gridSpan w:val="2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Forvis Mazars Sebit (Korea) – Seoul,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From:</w:t>
            </w:r>
          </w:p>
        </w:tc>
        <w:tc>
          <w:tcPr>
            <w:tcW w:w="4739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  <w:tc>
          <w:tcPr>
            <w:tcW w:w="938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engagement partner</w:t>
            </w:r>
            <w:r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auditor location</w:t>
            </w:r>
            <w:r>
              <w:rPr>
                <w:sz w:val="24"/>
              </w:rPr>
              <w:t>]</w:t>
            </w:r>
          </w:p>
        </w:tc>
        <w:tc>
          <w:tcPr>
            <w:tcW w:w="9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Date</w:t>
            </w:r>
            <w:r>
              <w:rPr>
                <w:sz w:val="24"/>
              </w:rPr>
              <w:t>]</w:t>
            </w:r>
          </w:p>
        </w:tc>
      </w:tr>
    </w:tbl>
    <w:p>
      <w:pPr>
        <w:pStyle w:val="KAppendixSubHeading1a"/>
        <w:shd w:fill="FFFFFF" w:val="clear"/>
        <w:tabs>
          <w:tab w:val="clear" w:pos="720"/>
        </w:tabs>
        <w:spacing w:before="360" w:after="1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KAppendixSubHeading1a"/>
        <w:shd w:fill="FFFFFF" w:val="clear"/>
        <w:tabs>
          <w:tab w:val="clear" w:pos="720"/>
        </w:tabs>
        <w:spacing w:before="360" w:after="120"/>
        <w:ind w:hanging="360" w:start="360" w:end="0"/>
        <w:rPr/>
      </w:pPr>
      <w:r>
        <w:rPr>
          <w:rFonts w:cs="Times New Roman" w:ascii="Times New Roman" w:hAnsi="Times New Roman"/>
          <w:sz w:val="24"/>
        </w:rPr>
        <w:t>1.</w:t>
        <w:tab/>
      </w:r>
      <w:r>
        <w:rPr/>
        <w:t>Identification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51"/>
        <w:gridCol w:w="4657"/>
        <w:gridCol w:w="923"/>
      </w:tblGrid>
      <w:tr>
        <w:trPr>
          <w:cantSplit w:val="true"/>
        </w:trPr>
        <w:tc>
          <w:tcPr>
            <w:tcW w:w="445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b/>
                <w:sz w:val="24"/>
              </w:rPr>
              <w:t>Group’s Name:</w:t>
            </w:r>
          </w:p>
        </w:tc>
        <w:tc>
          <w:tcPr>
            <w:tcW w:w="4657" w:type="dxa"/>
            <w:tcBorders>
              <w:top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Faurecia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group”)</w:t>
            </w:r>
          </w:p>
        </w:tc>
        <w:tc>
          <w:tcPr>
            <w:tcW w:w="923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Period covered by the Group Audit: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Year ending 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108" w:end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Component’s Name: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Faurecia Emissions Control Technologies India Private Ltd. (IN04)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Component type of work: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sz w:val="24"/>
              </w:rPr>
              <w:t xml:space="preserve">Audit (Full Audit Scope)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Closing date of the financial statements covered by the work of the component auditor:</w:t>
            </w:r>
          </w:p>
        </w:tc>
        <w:tc>
          <w:tcPr>
            <w:tcW w:w="4657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</w:tbl>
    <w:p>
      <w:pPr>
        <w:pStyle w:val="StyleJustifi"/>
        <w:rPr>
          <w:bCs/>
          <w:lang w:val="en-GB"/>
        </w:rPr>
      </w:pPr>
      <w:r>
        <w:rPr>
          <w:bCs/>
          <w:lang w:val="en-GB"/>
        </w:rPr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8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8"/>
          <w:lang w:val="en-GB" w:eastAsia="en-US"/>
        </w:rPr>
        <w:t>AUDIT SERVICES FEE INFORMATION</w:t>
      </w:r>
    </w:p>
    <w:p>
      <w:pPr>
        <w:pStyle w:val="Normal"/>
        <w:keepNext w:val="true"/>
        <w:keepLines/>
        <w:rPr>
          <w:rFonts w:ascii="Times New Roman Bold;Times New Roman" w:hAnsi="Times New Roman Bold;Times New Roman" w:cs="Times New Roman Bold;Times New Roman"/>
          <w:b/>
          <w:bCs/>
          <w:sz w:val="20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0"/>
          <w:szCs w:val="20"/>
          <w:lang w:val="en-GB" w:eastAsia="en-US"/>
        </w:rPr>
      </w:r>
    </w:p>
    <w:p>
      <w:pPr>
        <w:pStyle w:val="Normal"/>
        <w:keepNext w:val="true"/>
        <w:keepLines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</w:r>
    </w:p>
    <w:tbl>
      <w:tblPr>
        <w:tblW w:w="9639" w:type="dxa"/>
        <w:jc w:val="start"/>
        <w:tblInd w:w="249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3969"/>
        <w:gridCol w:w="1276"/>
        <w:gridCol w:w="1276"/>
        <w:gridCol w:w="1559"/>
        <w:gridCol w:w="1559"/>
      </w:tblGrid>
      <w:tr>
        <w:trPr/>
        <w:tc>
          <w:tcPr>
            <w:tcW w:w="3969" w:type="dxa"/>
            <w:tcBorders/>
            <w:vAlign w:val="center"/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2"/>
                <w:szCs w:val="22"/>
                <w:lang w:val="en-US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budget fee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2"/>
                <w:szCs w:val="22"/>
                <w:lang w:val="en-US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final fee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rFonts w:ascii="Book Antiqua" w:hAnsi="Book Antiqua" w:cs="Book Antiqua"/>
                <w:b/>
                <w:sz w:val="22"/>
                <w:szCs w:val="22"/>
                <w:lang w:val="en-GB" w:eastAsia="en-US"/>
              </w:rPr>
            </w:pPr>
            <w:r>
              <w:rPr>
                <w:rFonts w:cs="Book Antiqua" w:ascii="Book Antiqua" w:hAnsi="Book Antiqua"/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Hours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Local currency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Hours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Local currency</w:t>
            </w:r>
          </w:p>
        </w:tc>
      </w:tr>
      <w:tr>
        <w:trPr/>
        <w:tc>
          <w:tcPr>
            <w:tcW w:w="3969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113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Audit services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" w:after="20"/>
              <w:ind w:start="318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Partner</w:t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" w:after="20"/>
              <w:ind w:start="318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Manager</w:t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start w:val="single" w:sz="6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20" w:after="20"/>
              <w:ind w:start="318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Staff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20" w:after="2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113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Total audit services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113" w:end="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Total audit services and disbursements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tabs>
                <w:tab w:val="clear" w:pos="708"/>
                <w:tab w:val="decimal" w:pos="318" w:leader="none"/>
              </w:tabs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</w:tr>
    </w:tbl>
    <w:p>
      <w:pPr>
        <w:pStyle w:val="Normal"/>
        <w:keepNext w:val="true"/>
        <w:keepLines/>
        <w:spacing w:before="60" w:after="60"/>
        <w:rPr>
          <w:rFonts w:ascii="Book Antiqua" w:hAnsi="Book Antiqua" w:cs="Book Antiqua"/>
          <w:sz w:val="22"/>
          <w:szCs w:val="20"/>
          <w:lang w:val="en-GB" w:eastAsia="en-US"/>
        </w:rPr>
      </w:pPr>
      <w:r>
        <w:rPr>
          <w:rFonts w:cs="Book Antiqua" w:ascii="Book Antiqua" w:hAnsi="Book Antiqua"/>
          <w:sz w:val="22"/>
          <w:szCs w:val="20"/>
          <w:lang w:val="en-GB" w:eastAsia="en-US"/>
        </w:rPr>
      </w:r>
    </w:p>
    <w:p>
      <w:pPr>
        <w:pStyle w:val="Normal"/>
        <w:jc w:val="both"/>
        <w:rPr>
          <w:rFonts w:ascii="Book Antiqua" w:hAnsi="Book Antiqua" w:cs="Book Antiqua"/>
          <w:i/>
          <w:i/>
          <w:sz w:val="22"/>
          <w:lang w:val="en-GB" w:eastAsia="en-US"/>
        </w:rPr>
      </w:pPr>
      <w:r>
        <w:rPr>
          <w:rFonts w:cs="Book Antiqua" w:ascii="Book Antiqua" w:hAnsi="Book Antiqua"/>
          <w:i/>
          <w:sz w:val="22"/>
          <w:lang w:val="en-GB" w:eastAsia="en-US"/>
        </w:rPr>
        <w:t>Indicate and/or explain below in detail any significant variances of actual fees compared to budgeted and/or approved amounts.</w:t>
      </w:r>
    </w:p>
    <w:p>
      <w:pPr>
        <w:pStyle w:val="Normal"/>
        <w:rPr>
          <w:rFonts w:ascii="Book Antiqua" w:hAnsi="Book Antiqua" w:cs="Book Antiqua"/>
          <w:i/>
          <w:i/>
          <w:sz w:val="22"/>
          <w:lang w:val="en-GB" w:eastAsia="en-US"/>
        </w:rPr>
      </w:pPr>
      <w:r>
        <w:rPr>
          <w:rFonts w:cs="Book Antiqua" w:ascii="Book Antiqua" w:hAnsi="Book Antiqua"/>
          <w:i/>
          <w:sz w:val="22"/>
          <w:lang w:val="en-GB" w:eastAsia="en-US"/>
        </w:rPr>
      </w:r>
      <w:r>
        <w:br w:type="page"/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0"/>
          <w:lang w:val="en-GB" w:eastAsia="en-US"/>
        </w:rPr>
        <w:t>NON AUDIT SERVICES FEE INFORMATION</w:t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0"/>
          <w:lang w:val="en-GB" w:eastAsia="en-US"/>
        </w:rPr>
      </w:r>
    </w:p>
    <w:p>
      <w:pPr>
        <w:pStyle w:val="Normal"/>
        <w:rPr>
          <w:rFonts w:ascii="Times New Roman Bold;Times New Roman" w:hAnsi="Times New Roman Bold;Times New Roman" w:cs="Times New Roman Bold;Times New Roman"/>
          <w:b/>
          <w:bCs/>
          <w:sz w:val="28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8"/>
          <w:szCs w:val="20"/>
          <w:lang w:val="en-GB" w:eastAsia="en-US"/>
        </w:rPr>
        <w:t>Please precise the currency and unit used</w:t>
      </w:r>
    </w:p>
    <w:p>
      <w:pPr>
        <w:pStyle w:val="Normal"/>
        <w:keepNext w:val="true"/>
        <w:keepLines/>
        <w:ind w:start="142" w:end="0"/>
        <w:rPr>
          <w:rFonts w:ascii="Times New Roman Bold;Times New Roman" w:hAnsi="Times New Roman Bold;Times New Roman" w:cs="Times New Roman Bold;Times New Roman"/>
          <w:b/>
          <w:bCs/>
          <w:sz w:val="20"/>
          <w:szCs w:val="20"/>
          <w:lang w:val="en-GB" w:eastAsia="en-US"/>
        </w:rPr>
      </w:pPr>
      <w:r>
        <w:rPr>
          <w:rFonts w:cs="Times New Roman Bold;Times New Roman" w:ascii="Times New Roman Bold;Times New Roman" w:hAnsi="Times New Roman Bold;Times New Roman"/>
          <w:b/>
          <w:bCs/>
          <w:sz w:val="20"/>
          <w:szCs w:val="20"/>
          <w:lang w:val="en-GB" w:eastAsia="en-US"/>
        </w:rPr>
      </w:r>
    </w:p>
    <w:tbl>
      <w:tblPr>
        <w:tblW w:w="8505" w:type="dxa"/>
        <w:jc w:val="start"/>
        <w:tblInd w:w="107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4536"/>
        <w:gridCol w:w="1985"/>
        <w:gridCol w:w="1984"/>
      </w:tblGrid>
      <w:tr>
        <w:trPr/>
        <w:tc>
          <w:tcPr>
            <w:tcW w:w="4536" w:type="dxa"/>
            <w:tcBorders/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ind w:start="57" w:end="78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budget fee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Agreed final fee</w:t>
            </w:r>
          </w:p>
        </w:tc>
      </w:tr>
      <w:tr>
        <w:trPr/>
        <w:tc>
          <w:tcPr>
            <w:tcW w:w="453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00" w:after="100"/>
              <w:ind w:start="57" w:end="78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Non audit services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Accounting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Tax compliance work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Tax consulting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Management consulting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200" w:after="100"/>
              <w:ind w:start="284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Other services (</w:t>
            </w:r>
            <w:r>
              <w:rPr>
                <w:b/>
                <w:i/>
                <w:sz w:val="22"/>
                <w:szCs w:val="22"/>
                <w:lang w:val="en-GB" w:eastAsia="en-US"/>
              </w:rPr>
              <w:t>describe</w:t>
            </w:r>
            <w:r>
              <w:rPr>
                <w:b/>
                <w:sz w:val="22"/>
                <w:szCs w:val="22"/>
                <w:lang w:val="en-GB" w:eastAsia="en-US"/>
              </w:rPr>
              <w:t>)</w:t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2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2"/>
              </w:numPr>
              <w:spacing w:before="100" w:after="100"/>
              <w:ind w:hanging="0" w:start="1134" w:end="79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  <w:t>Xxxxx</w:t>
            </w:r>
          </w:p>
          <w:p>
            <w:pPr>
              <w:pStyle w:val="Normal"/>
              <w:keepNext w:val="true"/>
              <w:keepLines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5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00" w:after="10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40" w:after="140"/>
              <w:ind w:start="57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Total non-audit services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40" w:after="140"/>
              <w:ind w:start="57" w:end="78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  <w:t>Disbursements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  <w:tr>
        <w:trPr/>
        <w:tc>
          <w:tcPr>
            <w:tcW w:w="453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keepNext w:val="true"/>
              <w:keepLines/>
              <w:spacing w:before="140" w:after="140"/>
              <w:ind w:start="57" w:end="78"/>
              <w:rPr/>
            </w:pPr>
            <w:r>
              <w:rPr>
                <w:b/>
                <w:sz w:val="22"/>
                <w:szCs w:val="22"/>
                <w:lang w:val="en-GB" w:eastAsia="en-US"/>
              </w:rPr>
              <w:t>Total non-audit services and disbursements</w:t>
            </w:r>
          </w:p>
        </w:tc>
        <w:tc>
          <w:tcPr>
            <w:tcW w:w="19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b/>
                <w:sz w:val="22"/>
                <w:szCs w:val="22"/>
                <w:lang w:val="en-GB" w:eastAsia="en-US"/>
              </w:rPr>
            </w:pPr>
            <w:r>
              <w:rPr>
                <w:b/>
                <w:sz w:val="22"/>
                <w:szCs w:val="22"/>
                <w:lang w:val="en-GB" w:eastAsia="en-US"/>
              </w:rPr>
            </w:r>
          </w:p>
        </w:tc>
        <w:tc>
          <w:tcPr>
            <w:tcW w:w="19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keepLines/>
              <w:snapToGrid w:val="false"/>
              <w:spacing w:before="140" w:after="140"/>
              <w:rPr>
                <w:sz w:val="22"/>
                <w:szCs w:val="22"/>
                <w:lang w:val="en-GB" w:eastAsia="en-US"/>
              </w:rPr>
            </w:pPr>
            <w:r>
              <w:rPr>
                <w:sz w:val="22"/>
                <w:szCs w:val="22"/>
                <w:lang w:val="en-GB" w:eastAsia="en-US"/>
              </w:rPr>
            </w:r>
          </w:p>
        </w:tc>
      </w:tr>
    </w:tbl>
    <w:p>
      <w:pPr>
        <w:pStyle w:val="Normal"/>
        <w:keepNext w:val="true"/>
        <w:keepLines/>
        <w:rPr>
          <w:rFonts w:ascii="Book Antiqua" w:hAnsi="Book Antiqua" w:cs="Book Antiqua"/>
          <w:sz w:val="22"/>
          <w:szCs w:val="20"/>
          <w:lang w:val="en-GB" w:eastAsia="en-US"/>
        </w:rPr>
      </w:pPr>
      <w:r>
        <w:rPr>
          <w:rFonts w:cs="Book Antiqua" w:ascii="Book Antiqua" w:hAnsi="Book Antiqua"/>
          <w:sz w:val="22"/>
          <w:szCs w:val="20"/>
          <w:lang w:val="en-GB" w:eastAsia="en-US"/>
        </w:rPr>
      </w:r>
    </w:p>
    <w:p>
      <w:pPr>
        <w:pStyle w:val="Normal"/>
        <w:jc w:val="both"/>
        <w:rPr/>
      </w:pPr>
      <w:r>
        <w:rPr>
          <w:sz w:val="22"/>
          <w:szCs w:val="22"/>
          <w:lang w:val="en-GB" w:eastAsia="en-US"/>
        </w:rPr>
        <w:t>The figures above relate to costs incurred and services provided in the financial year.</w:t>
      </w:r>
    </w:p>
    <w:p>
      <w:pPr>
        <w:pStyle w:val="Normal"/>
        <w:jc w:val="both"/>
        <w:rPr>
          <w:sz w:val="22"/>
          <w:szCs w:val="20"/>
          <w:lang w:val="en-GB" w:eastAsia="en-US"/>
        </w:rPr>
      </w:pPr>
      <w:r>
        <w:rPr>
          <w:sz w:val="22"/>
          <w:szCs w:val="20"/>
          <w:lang w:val="en-GB" w:eastAsia="en-US"/>
        </w:rPr>
      </w:r>
    </w:p>
    <w:p>
      <w:pPr>
        <w:pStyle w:val="Normal"/>
        <w:jc w:val="both"/>
        <w:rPr>
          <w:sz w:val="22"/>
          <w:lang w:val="en-GB" w:eastAsia="en-US"/>
        </w:rPr>
      </w:pPr>
      <w:r>
        <w:rPr>
          <w:i/>
          <w:sz w:val="22"/>
          <w:lang w:val="en-GB" w:eastAsia="en-US"/>
        </w:rPr>
        <w:t>Indicate and/or explain below in detail any significant variances of actual fees compared to budgeted and/or approved amounts.</w:t>
      </w:r>
    </w:p>
    <w:p>
      <w:pPr>
        <w:pStyle w:val="StyleJustifi"/>
        <w:rPr>
          <w:sz w:val="22"/>
          <w:lang w:val="en-GB" w:eastAsia="en-US"/>
        </w:rPr>
      </w:pPr>
      <w:r>
        <w:rPr>
          <w:sz w:val="22"/>
          <w:lang w:val="en-GB" w:eastAsia="en-US"/>
        </w:rPr>
      </w:r>
    </w:p>
    <w:tbl>
      <w:tblPr>
        <w:tblW w:w="10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7494"/>
      </w:tblGrid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Signed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 xml:space="preserve">Component Partner Name 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Firm name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StyleJustifi"/>
        <w:spacing w:before="0" w:after="12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imes New Roman Bold">
    <w:altName w:val="Times New Roman"/>
    <w:charset w:val="00" w:characterSet="windows-1252"/>
    <w:family w:val="roman"/>
    <w:pitch w:val="default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95580" cy="17526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t>/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NUMPAGES \* ARABIC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.4pt;height:13.8pt;mso-wrap-distance-left:0pt;mso-wrap-distance-right:0pt;mso-wrap-distance-top:0pt;mso-wrap-distance-bottom:0pt;margin-top:0.05pt;mso-position-vertical-relative:text;margin-left:438.1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t>/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NUMPAGES \* ARABIC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heading2Append2"/>
      <w:widowControl w:val="false"/>
      <w:shd w:fill="FFFFFF" w:val="clear"/>
      <w:tabs>
        <w:tab w:val="left" w:pos="1267" w:leader="none"/>
        <w:tab w:val="left" w:pos="8665" w:leader="none"/>
      </w:tabs>
      <w:ind w:hanging="3540" w:start="3540" w:end="0"/>
      <w:jc w:val="end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  <w:lang w:val="en-US" w:eastAsia="en-US"/>
      </w:rPr>
      <w:drawing>
        <wp:inline distT="0" distB="0" distL="0" distR="0">
          <wp:extent cx="1292225" cy="69469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52" r="-28" b="-52"/>
                  <a:stretch>
                    <a:fillRect/>
                  </a:stretch>
                </pic:blipFill>
                <pic:spPr bwMode="auto">
                  <a:xfrm>
                    <a:off x="0" y="0"/>
                    <a:ext cx="1292225" cy="694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Kheading2Append2"/>
      <w:widowControl w:val="false"/>
      <w:shd w:fill="FFFFFF" w:val="clear"/>
      <w:ind w:hanging="3540" w:start="3540" w:end="0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</w:rPr>
      <w:t xml:space="preserve">Instructions - Appendix G </w:t>
      <w:tab/>
      <w:tab/>
      <w:t>Fees reporting schedule</w:t>
    </w:r>
  </w:p>
  <w:p>
    <w:pPr>
      <w:pStyle w:val="Header"/>
      <w:rPr>
        <w:rFonts w:ascii="Times New Roman" w:hAnsi="Times New Roman" w:cs="Times New Roman"/>
        <w:sz w:val="24"/>
        <w:lang w:val="en-US"/>
      </w:rPr>
    </w:pPr>
    <w:r>
      <w:rPr>
        <w:rFonts w:cs="Times New Roman"/>
        <w:sz w:val="24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32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lowerLetter"/>
      <w:lvlText w:val="%5)."/>
      <w:lvlJc w:val="start"/>
      <w:pPr>
        <w:tabs>
          <w:tab w:val="num" w:pos="1008"/>
        </w:tabs>
        <w:ind w:start="1008" w:hanging="1008"/>
      </w:pPr>
      <w:rPr>
        <w:sz w:val="24"/>
        <w:i w:val="false"/>
        <w:b/>
      </w:rPr>
    </w:lvl>
    <w:lvl w:ilvl="5">
      <w:start w:val="1"/>
      <w:pStyle w:val="Heading6"/>
      <w:numFmt w:val="decimal"/>
      <w:lvlText w:val="%5.%6)."/>
      <w:lvlJc w:val="start"/>
      <w:pPr>
        <w:tabs>
          <w:tab w:val="num" w:pos="1152"/>
        </w:tabs>
        <w:ind w:start="1152" w:hanging="1152"/>
      </w:pPr>
      <w:rPr>
        <w:sz w:val="24"/>
        <w:i w:val="false"/>
        <w:b w:val="false"/>
        <w:rFonts w:ascii="Times New Roman" w:hAnsi="Times New Roman"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1134" w:hanging="0"/>
      </w:pPr>
      <w:rPr>
        <w:rFonts w:ascii="Symbol" w:hAnsi="Symbol" w:cs="Symbol" w:hint="default"/>
        <w:sz w:val="18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both"/>
      <w:outlineLvl w:val="0"/>
    </w:pPr>
    <w:rPr>
      <w:rFonts w:ascii="Arial" w:hAnsi="Arial" w:cs="Arial"/>
      <w:b/>
      <w:bCs/>
      <w:caps/>
      <w:color w:val="333399"/>
      <w:kern w:val="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bCs/>
      <w:i/>
      <w:iCs/>
      <w:caps/>
      <w:color w:val="000000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bCs/>
      <w:color w:val="000080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b/>
      <w:bCs/>
      <w:i/>
      <w:color w:val="00000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08"/>
        <w:tab w:val="left" w:pos="567" w:leader="none"/>
      </w:tabs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08"/>
        <w:tab w:val="left" w:pos="567" w:leader="none"/>
      </w:tabs>
      <w:spacing w:before="240" w:after="60"/>
      <w:outlineLvl w:val="5"/>
    </w:pPr>
    <w:rPr>
      <w:bCs/>
      <w:szCs w:val="22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2z1">
    <w:name w:val="WW8Num2z1"/>
    <w:qFormat/>
    <w:rPr>
      <w:sz w:val="24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3z0">
    <w:name w:val="WW8Num3z0"/>
    <w:qFormat/>
    <w:rPr>
      <w:rFonts w:ascii="Symbol" w:hAnsi="Symbol" w:cs="Symbol"/>
      <w:sz w:val="18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4">
    <w:name w:val="WW8Num5z4"/>
    <w:qFormat/>
    <w:rPr>
      <w:b/>
      <w:i w:val="false"/>
      <w:sz w:val="24"/>
    </w:rPr>
  </w:style>
  <w:style w:type="character" w:styleId="WW8Num5z5">
    <w:name w:val="WW8Num5z5"/>
    <w:qFormat/>
    <w:rPr>
      <w:rFonts w:ascii="Times New Roman" w:hAnsi="Times New Roman" w:cs="Times New Roman"/>
      <w:b w:val="false"/>
      <w:i w:val="false"/>
      <w:sz w:val="24"/>
    </w:rPr>
  </w:style>
  <w:style w:type="character" w:styleId="WW8Num6z0">
    <w:name w:val="WW8Num6z0"/>
    <w:qFormat/>
    <w:rPr>
      <w:rFonts w:ascii="Symbol" w:hAnsi="Symbol" w:cs="Symbol"/>
      <w:sz w:val="24"/>
    </w:rPr>
  </w:style>
  <w:style w:type="character" w:styleId="WW8Num6z1">
    <w:name w:val="WW8Num6z1"/>
    <w:qFormat/>
    <w:rPr/>
  </w:style>
  <w:style w:type="character" w:styleId="WW8Num6z2">
    <w:name w:val="WW8Num6z2"/>
    <w:qFormat/>
    <w:rPr>
      <w:rFonts w:ascii="Times New Roman" w:hAnsi="Times New Roman" w:eastAsia="Times New Roman" w:cs="Times New Roman"/>
    </w:rPr>
  </w:style>
  <w:style w:type="character" w:styleId="WW8Num6z3">
    <w:name w:val="WW8Num6z3"/>
    <w:qFormat/>
    <w:rPr>
      <w:rFonts w:ascii="Arial" w:hAnsi="Arial" w:cs="Arial"/>
    </w:rPr>
  </w:style>
  <w:style w:type="character" w:styleId="WW8Num6z4">
    <w:name w:val="WW8Num6z4"/>
    <w:qFormat/>
    <w:rPr>
      <w:rFonts w:ascii="Wingdings" w:hAnsi="Wingdings" w:cs="Wingdings"/>
    </w:rPr>
  </w:style>
  <w:style w:type="character" w:styleId="WW8Num6z6">
    <w:name w:val="WW8Num6z6"/>
    <w:qFormat/>
    <w:rPr>
      <w:rFonts w:ascii="Symbol" w:hAnsi="Symbol" w:cs="Symbol"/>
    </w:rPr>
  </w:style>
  <w:style w:type="character" w:styleId="WW8Num6z7">
    <w:name w:val="WW8Num6z7"/>
    <w:qFormat/>
    <w:rPr>
      <w:rFonts w:ascii="Courier New" w:hAnsi="Courier New" w:cs="Courier New"/>
    </w:rPr>
  </w:style>
  <w:style w:type="character" w:styleId="WW8NumSt22z0">
    <w:name w:val="WW8NumSt22z0"/>
    <w:qFormat/>
    <w:rPr>
      <w:rFonts w:ascii="Symbol" w:hAnsi="Symbol" w:cs="Symbol"/>
      <w:sz w:val="18"/>
    </w:rPr>
  </w:style>
  <w:style w:type="character" w:styleId="Style8">
    <w:name w:val="기본 단락 글꼴"/>
    <w:qFormat/>
    <w:rPr/>
  </w:style>
  <w:style w:type="character" w:styleId="StyleJustifiCar">
    <w:name w:val="Style Justifié Car"/>
    <w:qFormat/>
    <w:rPr>
      <w:sz w:val="24"/>
      <w:lang w:val="fr-FR" w:bidi="ar-SA"/>
    </w:rPr>
  </w:style>
  <w:style w:type="character" w:styleId="Char">
    <w:name w:val="풍선 도움말 텍스트 Char"/>
    <w:qFormat/>
    <w:rPr>
      <w:rFonts w:ascii="Tahoma" w:hAnsi="Tahoma" w:cs="Tahoma"/>
      <w:sz w:val="16"/>
      <w:szCs w:val="16"/>
    </w:rPr>
  </w:style>
  <w:style w:type="character" w:styleId="Kheading2Append2Char">
    <w:name w:val="Kheading2 Append 2 Char"/>
    <w:qFormat/>
    <w:rPr>
      <w:rFonts w:ascii="Arial" w:hAnsi="Arial" w:eastAsia="Calibri" w:cs="Arial"/>
      <w:b/>
      <w:sz w:val="28"/>
      <w:szCs w:val="24"/>
      <w:lang w:val="en-US" w:bidi="ar-SA"/>
    </w:rPr>
  </w:style>
  <w:style w:type="character" w:styleId="Char1">
    <w:name w:val="머리글 Char"/>
    <w:qFormat/>
    <w:rPr>
      <w:sz w:val="24"/>
      <w:szCs w:val="24"/>
      <w:lang w:val="fr-FR" w:bidi="ar-SA"/>
    </w:rPr>
  </w:style>
  <w:style w:type="character" w:styleId="Char2">
    <w:name w:val="각주 텍스트 Char"/>
    <w:qFormat/>
    <w:rPr>
      <w:rFonts w:eastAsia="Calibri"/>
      <w:lang w:val="fr-FR" w:bidi="ar-SA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PageNumber">
    <w:name w:val="Page Number"/>
    <w:basedOn w:val="Style8"/>
    <w:rPr/>
  </w:style>
  <w:style w:type="character" w:styleId="KNormalChar">
    <w:name w:val="KNormal Char"/>
    <w:qFormat/>
    <w:rPr>
      <w:rFonts w:eastAsia="Calibri"/>
      <w:sz w:val="22"/>
      <w:szCs w:val="24"/>
      <w:lang w:val="en-US" w:bidi="ar-SA"/>
    </w:rPr>
  </w:style>
  <w:style w:type="character" w:styleId="Style9">
    <w:name w:val="메모 참조"/>
    <w:qFormat/>
    <w:rPr>
      <w:sz w:val="16"/>
      <w:szCs w:val="16"/>
    </w:rPr>
  </w:style>
  <w:style w:type="character" w:styleId="Char3">
    <w:name w:val="메모 텍스트 Char"/>
    <w:qFormat/>
    <w:rPr>
      <w:lang w:val="fr-FR"/>
    </w:rPr>
  </w:style>
  <w:style w:type="character" w:styleId="Char4">
    <w:name w:val="메모 주제 Char"/>
    <w:qFormat/>
    <w:rPr>
      <w:b/>
      <w:bCs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Justifi">
    <w:name w:val="Style Justifié"/>
    <w:basedOn w:val="Normal"/>
    <w:qFormat/>
    <w:pPr>
      <w:spacing w:before="0" w:after="120"/>
      <w:jc w:val="both"/>
    </w:pPr>
    <w:rPr>
      <w:szCs w:val="20"/>
    </w:rPr>
  </w:style>
  <w:style w:type="paragraph" w:styleId="StyleStyleJustifiItalique">
    <w:name w:val="Style Style Justifié + Italique"/>
    <w:basedOn w:val="StyleJustifi"/>
    <w:qFormat/>
    <w:pPr/>
    <w:rPr>
      <w:i/>
      <w:iCs/>
    </w:rPr>
  </w:style>
  <w:style w:type="paragraph" w:styleId="StyleRougeJustifi">
    <w:name w:val="Style Rouge Justifié"/>
    <w:basedOn w:val="Normal"/>
    <w:qFormat/>
    <w:pPr>
      <w:shd w:fill="C0C0C0" w:val="clear"/>
      <w:jc w:val="both"/>
    </w:pPr>
    <w:rPr>
      <w:color w:val="FF000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10">
    <w:name w:val="풍선 도움말 텍스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Kheading2Append2">
    <w:name w:val="Kheading2 Append 2"/>
    <w:basedOn w:val="Normal"/>
    <w:qFormat/>
    <w:pPr>
      <w:pageBreakBefore/>
      <w:tabs>
        <w:tab w:val="clear" w:pos="708"/>
        <w:tab w:val="left" w:pos="1267" w:leader="none"/>
      </w:tabs>
      <w:spacing w:before="0" w:after="240"/>
      <w:ind w:hanging="1267" w:start="1267" w:end="0"/>
      <w:outlineLvl w:val="1"/>
    </w:pPr>
    <w:rPr>
      <w:rFonts w:ascii="Arial" w:hAnsi="Arial" w:eastAsia="Calibri" w:cs="Arial"/>
      <w:b/>
      <w:sz w:val="28"/>
      <w:lang w:val="en-US"/>
    </w:rPr>
  </w:style>
  <w:style w:type="paragraph" w:styleId="FootnoteText">
    <w:name w:val="Footnote Text"/>
    <w:basedOn w:val="Normal"/>
    <w:pPr/>
    <w:rPr>
      <w:rFonts w:eastAsia="Calibri"/>
      <w:sz w:val="20"/>
      <w:szCs w:val="20"/>
    </w:rPr>
  </w:style>
  <w:style w:type="paragraph" w:styleId="KNormal">
    <w:name w:val="KNormal"/>
    <w:basedOn w:val="Normal"/>
    <w:qFormat/>
    <w:pPr>
      <w:spacing w:before="0" w:after="240"/>
    </w:pPr>
    <w:rPr>
      <w:rFonts w:eastAsia="Calibri"/>
      <w:sz w:val="22"/>
      <w:lang w:val="en-US"/>
    </w:rPr>
  </w:style>
  <w:style w:type="paragraph" w:styleId="KAppendixSubHeading1a">
    <w:name w:val="KAppendixSubHeading1a"/>
    <w:basedOn w:val="KNormal"/>
    <w:qFormat/>
    <w:pPr>
      <w:keepNext w:val="true"/>
      <w:tabs>
        <w:tab w:val="clear" w:pos="708"/>
        <w:tab w:val="left" w:pos="720" w:leader="none"/>
      </w:tabs>
      <w:spacing w:before="240" w:after="240"/>
      <w:ind w:hanging="720" w:start="720" w:end="0"/>
    </w:pPr>
    <w:rPr>
      <w:rFonts w:ascii="Arial" w:hAnsi="Arial" w:cs="Arial"/>
      <w:b/>
      <w:sz w:val="20"/>
    </w:rPr>
  </w:style>
  <w:style w:type="paragraph" w:styleId="Style11">
    <w:name w:val="메모 텍스트"/>
    <w:basedOn w:val="Normal"/>
    <w:qFormat/>
    <w:pPr/>
    <w:rPr>
      <w:sz w:val="20"/>
      <w:szCs w:val="20"/>
    </w:rPr>
  </w:style>
  <w:style w:type="paragraph" w:styleId="Style12">
    <w:name w:val="메모 주제"/>
    <w:basedOn w:val="Style11"/>
    <w:next w:val="Style11"/>
    <w:qFormat/>
    <w:pPr/>
    <w:rPr>
      <w:b/>
      <w:bCs/>
    </w:rPr>
  </w:style>
  <w:style w:type="paragraph" w:styleId="Style13">
    <w:name w:val="수정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2018-07-16T09:07:00Z</dcterms:created>
  <dc:creator>Pam Wessels</dc:creator>
  <dc:description/>
  <cp:keywords/>
  <dc:language>en-US</dc:language>
  <cp:lastModifiedBy>Hyun-Ho Shim</cp:lastModifiedBy>
  <cp:lastPrinted>2011-10-10T11:25:00Z</cp:lastPrinted>
  <dcterms:modified xsi:type="dcterms:W3CDTF">2025-01-13T06:32:00Z</dcterms:modified>
  <cp:revision>8</cp:revision>
  <dc:subject/>
  <dc:title/>
</cp:coreProperties>
</file>