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En Santiago, 2 de Marzo de 2022,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La venta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rtl w:val="0"/>
        </w:rPr>
        <w:t xml:space="preserve">El sr(a). {first_name} {last_name}, en adelante, “el comprador”.... </w:t>
      </w: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rtl w:val="0"/>
        </w:rPr>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