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7"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7F5E06E6"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how to apply Value Sensitive Design in an recommender system for Albert Heijn</w:t>
      </w:r>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1795DF67" w:rsidR="009740E3" w:rsidRDefault="00563852" w:rsidP="00FE7043">
      <w:pPr>
        <w:ind w:firstLine="360"/>
      </w:pPr>
      <w:r>
        <w:rPr>
          <w:shd w:val="clear" w:color="auto" w:fill="FCFCFC"/>
        </w:rPr>
        <w:t xml:space="preserve">A novel approach </w:t>
      </w:r>
      <w:r w:rsidR="00DA6AAC">
        <w:rPr>
          <w:shd w:val="clear" w:color="auto" w:fill="FCFCFC"/>
        </w:rPr>
        <w:t>Value sensitive design (VSD) represents a pioneering endeavor to proactively consider human values throughout the process of technology design</w:t>
      </w:r>
      <w:r w:rsidR="007A7B88">
        <w:rPr>
          <w:shd w:val="clear" w:color="auto" w:fill="FCFCFC"/>
        </w:rPr>
        <w:t>[5]</w:t>
      </w:r>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73D58A14" w:rsidR="008176FC" w:rsidRDefault="008176FC" w:rsidP="008176FC">
      <w:pPr>
        <w:ind w:firstLine="360"/>
        <w:rPr>
          <w:shd w:val="clear" w:color="auto" w:fill="FFFFFF"/>
        </w:rPr>
      </w:pPr>
      <w:r>
        <w:rPr>
          <w:shd w:val="clear" w:color="auto" w:fill="FFFFFF"/>
        </w:rPr>
        <w:t xml:space="preserve">In </w:t>
      </w:r>
      <w:r w:rsidR="00563852">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the expanding spectrum of product choices and their production complexity challenge consumers to make informed and value-sensitive decisions. Recent approaches based on (personalized) psychological manipulation are often intransparent, potentially privacy-invasive and inconsistent with (informational) self-determination</w:t>
      </w:r>
      <w:r w:rsidR="00B01C52">
        <w:rPr>
          <w:shd w:val="clear" w:color="auto" w:fill="FFFFFF"/>
        </w:rPr>
        <w:t>[1]</w:t>
      </w:r>
      <w:r>
        <w:rPr>
          <w:shd w:val="clear" w:color="auto" w:fill="FFFFFF"/>
        </w:rPr>
        <w:t xml:space="preserve">. By contrast, responsible consumption based on informed choices currently requires reasoning to an extent that tends to overwhelm human cognitive capacity. </w:t>
      </w:r>
    </w:p>
    <w:p w14:paraId="74931098" w14:textId="42D7D6FC"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Heijn.</w:t>
      </w:r>
      <w:r w:rsidR="0058694D">
        <w:rPr>
          <w:shd w:val="clear" w:color="auto" w:fill="FFFFFF"/>
        </w:rPr>
        <w:t xml:space="preserve"> </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1631F372"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(p.e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2FF33A01" w14:textId="77777777" w:rsidR="00A8790C" w:rsidRDefault="00A8790C" w:rsidP="00E14988">
      <w:pPr>
        <w:pStyle w:val="ListParagraph"/>
      </w:pPr>
    </w:p>
    <w:p w14:paraId="5AA0C62C" w14:textId="77777777" w:rsidR="00A8790C" w:rsidRDefault="00A8790C" w:rsidP="00E14988">
      <w:pPr>
        <w:pStyle w:val="ListParagraph"/>
      </w:pPr>
    </w:p>
    <w:p w14:paraId="6C402739" w14:textId="77777777" w:rsidR="00A8790C" w:rsidRDefault="00A8790C" w:rsidP="00E14988">
      <w:pPr>
        <w:pStyle w:val="ListParagraph"/>
      </w:pPr>
    </w:p>
    <w:p w14:paraId="09BD880A" w14:textId="77777777" w:rsidR="00A8790C" w:rsidRDefault="00A8790C" w:rsidP="00E14988">
      <w:pPr>
        <w:pStyle w:val="ListParagraph"/>
      </w:pP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7F3DF604" w:rsidR="00A8790C" w:rsidRDefault="00D71D07" w:rsidP="00D71D07">
      <w:r>
        <w:tab/>
      </w:r>
      <w:r w:rsidRPr="00D71D07">
        <w:rPr>
          <w:b/>
          <w:bCs/>
        </w:rPr>
        <w:t>Figure1</w:t>
      </w:r>
      <w:r>
        <w:t>. Comparison between maistrem decision-support x value-sensitive design, adapted from [1]</w:t>
      </w:r>
    </w:p>
    <w:p w14:paraId="33D4A302" w14:textId="77777777" w:rsidR="00D71D07" w:rsidRPr="00D71D07" w:rsidRDefault="00D71D07" w:rsidP="00D71D07"/>
    <w:p w14:paraId="5F469335" w14:textId="33B2294F" w:rsidR="00AB7E2E" w:rsidRDefault="00D71D07" w:rsidP="003932B7">
      <w:pPr>
        <w:ind w:firstLine="720"/>
      </w:pPr>
      <w:r>
        <w:t xml:space="preserve">Another important discussion, was </w:t>
      </w:r>
      <w:r w:rsidR="0058694D">
        <w:t>proposed</w:t>
      </w:r>
      <w:r w:rsidR="00AA26CB">
        <w:t xml:space="preserve"> by </w:t>
      </w:r>
      <w:r>
        <w:t>Friedman and Nissenbau</w:t>
      </w:r>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20E9F7AE" w:rsidR="003932B7" w:rsidRDefault="00A8790C" w:rsidP="003932B7">
      <w:pPr>
        <w:ind w:firstLine="720"/>
      </w:pPr>
      <w:r>
        <w:t xml:space="preserve">A good understanding of </w:t>
      </w:r>
      <w:r w:rsidRPr="00D71D07">
        <w:rPr>
          <w:b/>
          <w:bCs/>
        </w:rPr>
        <w:t>biases</w:t>
      </w:r>
      <w:r>
        <w:t xml:space="preserve"> would allow us to identify potential harms in a system and either avoid them in the process of design or correct them if the system is already in use. To this end, Friedman and Nissenbau provided a taxonomy of biases that remains highly relevant and useful for today's debate on algorithmic bias and discrimination (see, e.g., Dobbe et al., 2019; Cramer et al., 2018). Based on the respective origin of bias, they specified three different types of biases, namely </w:t>
      </w:r>
      <w:r w:rsidRPr="00AB7E2E">
        <w:rPr>
          <w:i/>
          <w:iCs/>
        </w:rPr>
        <w:t>preexisting bias</w:t>
      </w:r>
      <w:r>
        <w:t xml:space="preserve">, </w:t>
      </w:r>
      <w:r w:rsidRPr="00AB7E2E">
        <w:rPr>
          <w:i/>
          <w:iCs/>
        </w:rPr>
        <w:t>technical</w:t>
      </w:r>
      <w:r>
        <w:t xml:space="preserve"> </w:t>
      </w:r>
      <w:r w:rsidRPr="00AB7E2E">
        <w:rPr>
          <w:i/>
          <w:iCs/>
        </w:rPr>
        <w:t>bias</w:t>
      </w:r>
      <w:r>
        <w:t xml:space="preserve">, and </w:t>
      </w:r>
      <w:r w:rsidRPr="00AB7E2E">
        <w:rPr>
          <w:i/>
          <w:iCs/>
        </w:rPr>
        <w:t>emergent</w:t>
      </w:r>
      <w:r>
        <w:t xml:space="preserve"> </w:t>
      </w:r>
      <w:r w:rsidRPr="00AB7E2E">
        <w:rPr>
          <w:i/>
          <w:iCs/>
        </w:rPr>
        <w:t>bias</w:t>
      </w:r>
      <w:r>
        <w:t>.</w:t>
      </w:r>
      <w:r w:rsidR="003932B7">
        <w:t xml:space="preserve"> </w:t>
      </w:r>
    </w:p>
    <w:p w14:paraId="5C6C42AD" w14:textId="0624AFBD"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It can either originate from individuals who have significant input into the design of the system (</w:t>
      </w:r>
      <w:r w:rsidR="00A8790C" w:rsidRPr="00673CBB">
        <w:rPr>
          <w:b/>
          <w:bCs/>
        </w:rPr>
        <w:t>individual preexisting bias</w:t>
      </w:r>
      <w:r w:rsidR="00A8790C">
        <w:t xml:space="preserve">) or from prejudices that exist in society or culture at large (societal preexisting bias). </w:t>
      </w:r>
      <w:r>
        <w:t xml:space="preserve"> </w:t>
      </w:r>
      <w:r w:rsidR="00A8790C" w:rsidRPr="00673CBB">
        <w:rPr>
          <w:b/>
          <w:bCs/>
        </w:rPr>
        <w:t>Technical bias</w:t>
      </w:r>
      <w:r w:rsidR="00673CBB">
        <w:rPr>
          <w:b/>
          <w:bCs/>
        </w:rPr>
        <w:t xml:space="preserve"> </w:t>
      </w:r>
      <w:r w:rsidR="00673CBB" w:rsidRPr="00673CBB">
        <w:t>[3]</w:t>
      </w:r>
      <w:r w:rsidR="00A8790C">
        <w:t xml:space="preserve">, in turn, arises from technical constraints or considerations. Sources of technical bias may include limitations of computer tools (e.g., in terms of hardware, software, or peripherals), the use of algorithms that have been developed for a different </w:t>
      </w:r>
      <w:r w:rsidR="00A8790C">
        <w:lastRenderedPageBreak/>
        <w:t xml:space="preserve">context, and the unwarranted formalisation of human constructs, that is, the attempt to quantify the qualitative and discretise the continuous. </w:t>
      </w:r>
      <w:r w:rsidR="00673CBB">
        <w:rPr>
          <w:b/>
          <w:bCs/>
        </w:rPr>
        <w:t>E</w:t>
      </w:r>
      <w:r w:rsidR="00A8790C" w:rsidRPr="00673CBB">
        <w:rPr>
          <w:b/>
          <w:bCs/>
        </w:rPr>
        <w:t>mergent bias is bias</w:t>
      </w:r>
      <w:r w:rsidR="00673CBB">
        <w:rPr>
          <w:b/>
          <w:bCs/>
        </w:rPr>
        <w:t xml:space="preserve"> </w:t>
      </w:r>
      <w:r w:rsidR="00673CBB" w:rsidRPr="00673CBB">
        <w:t>[3]</w:t>
      </w:r>
      <w:r w:rsidR="00A8790C">
        <w:t xml:space="preserve"> that arises in a context of use, typically some time after a design is completed, as a result of (a) new societal knowledge or changing cultural values that are not or cannot be incorporated into the system design or (b) a mismatch between the 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77777777" w:rsidR="00043A60" w:rsidRDefault="00E14988" w:rsidP="00E50FA9">
      <w:pPr>
        <w:ind w:firstLine="720"/>
      </w:pPr>
      <w:r>
        <w:t xml:space="preserve">As defined in [3] </w:t>
      </w:r>
      <w:r w:rsidRPr="00E14988">
        <w:t>Value Sensitive Design as a theoretically grounded methodology emerged against the backdrop of the 1990s rapid computerisation and as a response to a perceived need for a design approach that would account for human values and social context throughout the design process. Indeed, Friedman's (1997) seminal edited book Human Values and the Design of Computer Technology already provided an impressive demonstration on how to conceptualise and address issues around agency, privacy, and bias in computer systems, emphasising the need to "embrace value-sensitive design as part of the culture of computer science"</w:t>
      </w:r>
      <w:r>
        <w:t xml:space="preserve">. </w:t>
      </w:r>
    </w:p>
    <w:p w14:paraId="7D5C2D9F" w14:textId="7E5CFD25" w:rsidR="00E14988" w:rsidRDefault="00E14988" w:rsidP="00E50FA9">
      <w:pPr>
        <w:ind w:firstLine="720"/>
        <w:rPr>
          <w:sz w:val="23"/>
          <w:szCs w:val="23"/>
        </w:rPr>
      </w:pPr>
      <w:r w:rsidRPr="00E14988">
        <w:t>At its core, the VSD approach offers a concrete methodology for how to intentionally embed desired values into new technologies. It con</w:t>
      </w:r>
      <w:r>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r w:rsidR="00D10574" w:rsidRPr="00D10574">
        <w:t>Kheirandish</w:t>
      </w:r>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r>
        <w:t xml:space="preserve">p.e customers) or </w:t>
      </w:r>
      <w:r w:rsidRPr="00043A60">
        <w:rPr>
          <w:b/>
          <w:bCs/>
        </w:rPr>
        <w:t>indirect</w:t>
      </w:r>
      <w:r>
        <w:t xml:space="preserve"> (p.e</w:t>
      </w:r>
      <w:r w:rsidR="0007244E">
        <w:t xml:space="preserve"> society), </w:t>
      </w:r>
      <w:r w:rsidR="0007244E" w:rsidRPr="00043A60">
        <w:rPr>
          <w:b/>
          <w:bCs/>
        </w:rPr>
        <w:t>human</w:t>
      </w:r>
      <w:r w:rsidR="0007244E">
        <w:t xml:space="preserve"> or </w:t>
      </w:r>
      <w:r w:rsidR="0007244E" w:rsidRPr="00043A60">
        <w:rPr>
          <w:b/>
          <w:bCs/>
        </w:rPr>
        <w:t>non-human</w:t>
      </w:r>
      <w:r w:rsidR="0007244E">
        <w:t xml:space="preserve"> (p.e technology / computer / app).</w:t>
      </w:r>
      <w:r w:rsidR="00AB7E2E">
        <w:t xml:space="preserve"> </w:t>
      </w:r>
      <w:r w:rsidR="00AB7E2E">
        <w:lastRenderedPageBreak/>
        <w:t>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315C5BE8" w:rsidR="00E50FA9" w:rsidRDefault="00E50FA9" w:rsidP="00E50FA9">
      <w:pPr>
        <w:ind w:firstLine="360"/>
        <w:rPr>
          <w:b/>
          <w:bCs/>
        </w:rPr>
      </w:pPr>
      <w:r>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HuLu [2]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r w:rsidRPr="00D10574">
        <w:t>Kheirandish</w:t>
      </w:r>
    </w:p>
    <w:p w14:paraId="61DAE466" w14:textId="0DB0F25F"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Hein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 xml:space="preserve">values and tensions of this complex environment for example users preferences for prices or sustainability (p.e bioproducts), AH`s profits </w:t>
      </w:r>
      <w:r w:rsidR="00DB672B">
        <w:t>in opposition to</w:t>
      </w:r>
      <w:r>
        <w:t xml:space="preserve"> product diversity</w:t>
      </w:r>
      <w:r w:rsidR="003932B7">
        <w:t xml:space="preserve"> (p.e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w:t>
      </w:r>
      <w:r w:rsidR="00455B36">
        <w:lastRenderedPageBreak/>
        <w:t xml:space="preserve">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(p.e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A73C25A" w:rsidR="007350A3" w:rsidRDefault="0046740F" w:rsidP="00282C9D">
      <w:pPr>
        <w:ind w:left="360" w:firstLine="360"/>
      </w:pPr>
      <w:r>
        <w:t>The HuValue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(p.e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(P.e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covid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HuValue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Nerd&amp;independent,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HuValeu framework with personas and key values by persona.</w:t>
      </w:r>
    </w:p>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Hippe and his lifestyle of environment activity and healthy diet, demands a range of products with engagement, like bioproducts or from local community. On the other side of the food chain we see Nerd and Fattie with a demand for pleasure, in that case junk</w:t>
      </w:r>
      <w:r w:rsidR="008A6453">
        <w:t xml:space="preserve"> food</w:t>
      </w:r>
      <w:r>
        <w:t xml:space="preserve"> and cheap food</w:t>
      </w:r>
      <w:r w:rsidR="003672E1">
        <w:t xml:space="preserve"> (for Fattie,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Fattie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3E9FAF8D" w14:textId="245B3294" w:rsidR="00961AA4" w:rsidRDefault="002D4888" w:rsidP="00F74711">
      <w:pPr>
        <w:ind w:firstLine="360"/>
      </w:pPr>
      <w:r>
        <w:t xml:space="preserve">The system need the users inputs continuously (p.e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Fattie has low vision. The app would have sound reading or large letters, for example, turning in a more inclusive device. Not only the values should be addressed but physical disabilities too.</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3136491" w:rsidR="00CD092F" w:rsidRDefault="00CD092F" w:rsidP="00ED4DC1">
      <w:pPr>
        <w:ind w:firstLine="360"/>
      </w:pPr>
      <w:r>
        <w:t xml:space="preserve">As discussed in this work, value sensitive design is a novel approach that aims to address tension from different values and stakeholders in a system. The main advantage is to balance this tension forces in a way to handle multiple perspective as an individual (p.e individual values) but aiming at a global level (p.e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 individual way.</w:t>
      </w:r>
    </w:p>
    <w:p w14:paraId="63017EDD" w14:textId="4CA66B03" w:rsidR="00ED4DC1" w:rsidRPr="00F13533" w:rsidRDefault="00ED4DC1" w:rsidP="00ED4DC1">
      <w:pPr>
        <w:ind w:firstLine="360"/>
      </w:pPr>
      <w:r>
        <w:t>Proper utilization of VSD could support such efforts as the method not only requires diligent investigations of the values at stake (see, in par</w:t>
      </w:r>
      <w:r>
        <w:softHyphen/>
        <w:t xml:space="preserve">ticular, the </w:t>
      </w:r>
      <w:r w:rsidR="00943AAA">
        <w:t>empirical</w:t>
      </w:r>
      <w:r>
        <w:t xml:space="preserve"> and technical investigations in the VSD method), but also calls for the involvement of interdisciplinary research teams that include, for ex</w:t>
      </w:r>
      <w:r>
        <w:softHyphen/>
        <w:t>ample, philosophers, social scientists, or legal scholars. Of course, such interdisci</w:t>
      </w:r>
      <w:r>
        <w:softHyphen/>
        <w:t>plinary approach can be challenging and resource intensive, but ethical design ultimately demands more than mechanical, recipe-based treatments of FAT</w:t>
      </w:r>
      <w:r w:rsidR="00943AAA">
        <w:t xml:space="preserve"> </w:t>
      </w:r>
      <w:r w:rsidR="00943AAA" w:rsidRPr="00943AAA">
        <w:t>(Fairness, Accountability, and Transparency in socio-technical systems)</w:t>
      </w:r>
      <w:r>
        <w:t xml:space="preserve"> re</w:t>
      </w:r>
      <w:r>
        <w:softHyphen/>
        <w:t xml:space="preserve">quirements </w:t>
      </w:r>
      <w:r w:rsidR="00DB19BC">
        <w:t>[3]</w:t>
      </w:r>
      <w:r>
        <w:t xml:space="preserve">. Striving for truly </w:t>
      </w:r>
      <w:r w:rsidRPr="00943AAA">
        <w:t xml:space="preserve">value-sensitive </w:t>
      </w:r>
      <w:r>
        <w:t>designs im</w:t>
      </w:r>
      <w:r>
        <w:softHyphen/>
        <w:t>plies being sensitive to the manifold meanings of values in different societal and cultural contexts and requires recognizing, relating, and applying different discipli</w:t>
      </w:r>
      <w:r>
        <w:softHyphen/>
        <w:t>nary competences</w:t>
      </w:r>
      <w:r w:rsidR="00DB19BC">
        <w:t>[3]</w:t>
      </w:r>
      <w:r>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5"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6"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7"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8"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9"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Shadi Kheirandish, Mathias Funk, Stephan Wensveen, Maarten Verkerk,Matthias Rauterberg1 (2019). </w:t>
      </w:r>
      <w:r w:rsidRPr="00E14988">
        <w:rPr>
          <w:rFonts w:asciiTheme="majorHAnsi" w:hAnsiTheme="majorHAnsi" w:cstheme="majorHAnsi"/>
          <w:i/>
          <w:iCs/>
        </w:rPr>
        <w:t>HuValue: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20"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Judith,Wong Pak-Hang, Rieder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1"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F8480E">
        <w:rPr>
          <w:rFonts w:asciiTheme="majorHAnsi" w:hAnsiTheme="majorHAnsi" w:cstheme="majorHAnsi"/>
          <w:sz w:val="22"/>
          <w:szCs w:val="22"/>
        </w:rPr>
        <w:t xml:space="preserve">[5] Janet Davis, Lisa P. Nathan (2014).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Pr="00F8480E"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 xml:space="preserve">Cramer, H., Garcia-Gathright,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w:t>
      </w:r>
      <w:r w:rsidRPr="00F8480E">
        <w:rPr>
          <w:rFonts w:asciiTheme="majorHAnsi" w:hAnsiTheme="majorHAnsi" w:cstheme="majorHAnsi"/>
          <w:sz w:val="22"/>
          <w:szCs w:val="22"/>
        </w:rPr>
        <w:t>Interactions, </w:t>
      </w:r>
      <w:r w:rsidRPr="00F8480E">
        <w:rPr>
          <w:rFonts w:asciiTheme="majorHAnsi" w:hAnsiTheme="majorHAnsi" w:cstheme="majorHAnsi"/>
          <w:i/>
          <w:iCs/>
          <w:sz w:val="22"/>
          <w:szCs w:val="22"/>
        </w:rPr>
        <w:t>25</w:t>
      </w:r>
      <w:r w:rsidRPr="003610E9">
        <w:rPr>
          <w:rFonts w:asciiTheme="majorHAnsi" w:hAnsiTheme="majorHAnsi" w:cstheme="majorHAnsi"/>
          <w:sz w:val="22"/>
          <w:szCs w:val="22"/>
        </w:rPr>
        <w:t>(6), 58–63. </w:t>
      </w:r>
      <w:hyperlink r:id="rId22" w:history="1">
        <w:r w:rsidRPr="00F8480E">
          <w:rPr>
            <w:rStyle w:val="Hyperlink"/>
            <w:rFonts w:asciiTheme="majorHAnsi" w:hAnsiTheme="majorHAnsi" w:cstheme="majorHAnsi"/>
            <w:sz w:val="22"/>
            <w:szCs w:val="22"/>
          </w:rPr>
          <w:t>https://doi.org/10.1145/3278156</w:t>
        </w:r>
      </w:hyperlink>
    </w:p>
    <w:p w14:paraId="52367DF6" w14:textId="51A131B3" w:rsidR="008B2BEF" w:rsidRPr="003610E9" w:rsidRDefault="008B2BEF" w:rsidP="007A5262">
      <w:pPr>
        <w:pStyle w:val="Default"/>
        <w:rPr>
          <w:rFonts w:asciiTheme="majorHAnsi" w:hAnsiTheme="majorHAnsi" w:cstheme="majorHAnsi"/>
          <w:sz w:val="22"/>
          <w:szCs w:val="22"/>
        </w:rPr>
      </w:pPr>
    </w:p>
    <w:p w14:paraId="2FFC8A47" w14:textId="0AEE55B5" w:rsidR="008B2BEF" w:rsidRDefault="008B2BEF" w:rsidP="007A5262">
      <w:pPr>
        <w:pStyle w:val="Default"/>
        <w:rPr>
          <w:rStyle w:val="Hyperlink"/>
          <w:rFonts w:asciiTheme="majorHAnsi" w:hAnsiTheme="majorHAnsi" w:cstheme="majorHAnsi"/>
          <w:sz w:val="21"/>
          <w:szCs w:val="21"/>
          <w:bdr w:val="none" w:sz="0" w:space="0" w:color="auto" w:frame="1"/>
        </w:rPr>
      </w:pPr>
      <w:r w:rsidRPr="00943AAA">
        <w:rPr>
          <w:rFonts w:asciiTheme="majorHAnsi" w:hAnsiTheme="majorHAnsi" w:cstheme="majorHAnsi"/>
          <w:sz w:val="22"/>
          <w:szCs w:val="22"/>
          <w:lang w:val="de-DE"/>
        </w:rPr>
        <w:t>[7] Dobbe,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3" w:history="1">
        <w:r w:rsidRPr="008B2BEF">
          <w:rPr>
            <w:rStyle w:val="Hyperlink"/>
            <w:rFonts w:asciiTheme="majorHAnsi" w:hAnsiTheme="majorHAnsi" w:cstheme="majorHAnsi"/>
            <w:sz w:val="21"/>
            <w:szCs w:val="21"/>
            <w:bdr w:val="none" w:sz="0" w:space="0" w:color="auto" w:frame="1"/>
          </w:rPr>
          <w:t>http://arxiv.org/abs/1807.00553</w:t>
        </w:r>
      </w:hyperlink>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18D9A2A1" w14:textId="2BF4E53A"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72BA5"/>
    <w:rsid w:val="001741CF"/>
    <w:rsid w:val="00282C9D"/>
    <w:rsid w:val="002A04D9"/>
    <w:rsid w:val="002D4888"/>
    <w:rsid w:val="0031253A"/>
    <w:rsid w:val="003610E9"/>
    <w:rsid w:val="003672E1"/>
    <w:rsid w:val="003932B7"/>
    <w:rsid w:val="00455B36"/>
    <w:rsid w:val="0046740F"/>
    <w:rsid w:val="00513737"/>
    <w:rsid w:val="0051438A"/>
    <w:rsid w:val="00563852"/>
    <w:rsid w:val="0058694D"/>
    <w:rsid w:val="005F73BA"/>
    <w:rsid w:val="00673CBB"/>
    <w:rsid w:val="007350A3"/>
    <w:rsid w:val="00772F61"/>
    <w:rsid w:val="007A5262"/>
    <w:rsid w:val="007A7B88"/>
    <w:rsid w:val="008176FC"/>
    <w:rsid w:val="00846B3D"/>
    <w:rsid w:val="008A6453"/>
    <w:rsid w:val="008A7435"/>
    <w:rsid w:val="008B2BEF"/>
    <w:rsid w:val="008E05B8"/>
    <w:rsid w:val="00943AAA"/>
    <w:rsid w:val="00961AA4"/>
    <w:rsid w:val="009740E3"/>
    <w:rsid w:val="009C7959"/>
    <w:rsid w:val="00A341BE"/>
    <w:rsid w:val="00A84039"/>
    <w:rsid w:val="00A8790C"/>
    <w:rsid w:val="00AA26CB"/>
    <w:rsid w:val="00AB7E2E"/>
    <w:rsid w:val="00B01C52"/>
    <w:rsid w:val="00B11696"/>
    <w:rsid w:val="00B7200B"/>
    <w:rsid w:val="00C15C37"/>
    <w:rsid w:val="00C2283D"/>
    <w:rsid w:val="00CC2D91"/>
    <w:rsid w:val="00CC3841"/>
    <w:rsid w:val="00CD092F"/>
    <w:rsid w:val="00CD1E2D"/>
    <w:rsid w:val="00CD5C2F"/>
    <w:rsid w:val="00D10574"/>
    <w:rsid w:val="00D71D07"/>
    <w:rsid w:val="00DA6AAC"/>
    <w:rsid w:val="00DB19BC"/>
    <w:rsid w:val="00DB672B"/>
    <w:rsid w:val="00E14988"/>
    <w:rsid w:val="00E3167A"/>
    <w:rsid w:val="00E5021F"/>
    <w:rsid w:val="00E50FA9"/>
    <w:rsid w:val="00ED4DC1"/>
    <w:rsid w:val="00F13533"/>
    <w:rsid w:val="00F15F61"/>
    <w:rsid w:val="00F54602"/>
    <w:rsid w:val="00F74711"/>
    <w:rsid w:val="00F8480E"/>
    <w:rsid w:val="00F96297"/>
    <w:rsid w:val="00FC6798"/>
    <w:rsid w:val="00FC7D04"/>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oyalsocietypublishing.org/doi/10.1098/rsos.201418" TargetMode="External"/><Relationship Id="rId3" Type="http://schemas.openxmlformats.org/officeDocument/2006/relationships/styles" Target="styles.xml"/><Relationship Id="rId21" Type="http://schemas.openxmlformats.org/officeDocument/2006/relationships/hyperlink" Target="https://www.stakeholdermap.com/retail-stakeholders.html" TargetMode="External"/><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royalsocietypublishing.org/doi/10.1098/rsos.20141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oyalsocietypublishing.org/doi/10.1098/rsos.201418" TargetMode="External"/><Relationship Id="rId20" Type="http://schemas.openxmlformats.org/officeDocument/2006/relationships/hyperlink" Target="https://doi.org/10.1007/s10798-019-09527-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oyalsocietypublishing.org/doi/10.1098/rsos.201418" TargetMode="External"/><Relationship Id="rId23" Type="http://schemas.openxmlformats.org/officeDocument/2006/relationships/hyperlink" Target="http://arxiv.org/abs/1807.00553" TargetMode="External"/><Relationship Id="rId10" Type="http://schemas.openxmlformats.org/officeDocument/2006/relationships/image" Target="media/image4.png"/><Relationship Id="rId19" Type="http://schemas.openxmlformats.org/officeDocument/2006/relationships/hyperlink" Target="https://doi.org/10.1098/rsos.20141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45/3278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Tho21</b:Tag>
    <b:SourceType>Book</b:SourceType>
    <b:Guid>{89CCE8CE-6D49-40B1-948B-7F530C59632C}</b:Guid>
    <b:Author>
      <b:Author>
        <b:NameList>
          <b:Person>
            <b:Last>Thomas Asikis</b:Last>
            <b:First>Johannes</b:First>
            <b:Middle>Klinglmayr, Dirk Helbing and Evangelos Pournaras</b:Middle>
          </b:Person>
        </b:NameList>
      </b:Author>
    </b:Author>
    <b:Title>How value-sensitive desing can empower sustainable consumption</b:Title>
    <b:Year>2021</b:Year>
    <b:RefOrder>1</b:RefOrder>
  </b:Source>
</b:Sources>
</file>

<file path=customXml/itemProps1.xml><?xml version="1.0" encoding="utf-8"?>
<ds:datastoreItem xmlns:ds="http://schemas.openxmlformats.org/officeDocument/2006/customXml" ds:itemID="{E5E6981A-29C7-40B1-AF84-94A8AE6E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4</cp:revision>
  <dcterms:created xsi:type="dcterms:W3CDTF">2021-02-26T17:10:00Z</dcterms:created>
  <dcterms:modified xsi:type="dcterms:W3CDTF">2021-02-27T19:02:00Z</dcterms:modified>
</cp:coreProperties>
</file>