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500" w:after="250" w:line="290"/>
      </w:pPr>
      <w:r>
        <w:rPr>
          <w:b/>
          <w:rFonts w:ascii="Aptos" w:hAnsi="Aptos" w:eastAsia="Malgun Gothic"/>
          <w:color w:val="000000"/>
          <w:sz w:val="46"/>
        </w:rPr>
        <w:t xml:space="preserve">아이엔씨 공사 통합관리 시스템 사용자 매뉴얼</w:t>
      </w:r>
    </w:p>
    <w:p>
      <w:pPr>
        <w:jc w:val="center"/>
        <w:spacing w:before="0" w:after="70" w:line="290"/>
      </w:pPr>
      <w:r>
        <w:rPr>
          <w:rFonts w:ascii="Aptos" w:hAnsi="Aptos" w:eastAsia="Malgun Gothic"/>
          <w:color w:val="5B6573"/>
          <w:sz w:val="28"/>
        </w:rPr>
        <w:t xml:space="preserve">프로젝트 등록부터 준공정산까지</w:t>
      </w:r>
    </w:p>
    <w:p>
      <w:pPr>
        <w:jc w:val="center"/>
        <w:spacing w:before="0" w:after="700" w:line="290"/>
      </w:pPr>
      <w:r>
        <w:rPr>
          <w:rFonts w:ascii="Aptos" w:hAnsi="Aptos" w:eastAsia="Malgun Gothic"/>
          <w:color w:val="5B6573"/>
          <w:sz w:val="22"/>
        </w:rPr>
        <w:t xml:space="preserve">계약  실행예산  발주  기성  지급  준공정산 업무 흐름 안내</w:t>
      </w:r>
    </w:p>
    <w:tbl>
      <w:tblPr>
        <w:tblLayout w:type="fixed"/>
      </w:tblPr>
      <w:tblGrid>
        <w:gridCol w:w="2200"/>
        <w:gridCol w:w="7600"/>
      </w:tblGrid>
      <w:tr>
        <w:trPr>
          <w:tblHeader/>
        </w:trPr>
        <w:tc>
          <w:tcPr>
            <w:tcW w:w="22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문서 정보</w:t>
            </w:r>
          </w:p>
        </w:tc>
        <w:tc>
          <w:tcPr>
            <w:tcW w:w="76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내용</w:t>
            </w:r>
          </w:p>
        </w:tc>
      </w:tr>
      <w:tr>
        <w:tc>
          <w:tcPr>
            <w:tcW w:w="2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문서 버전</w:t>
            </w:r>
          </w:p>
        </w:tc>
        <w:tc>
          <w:tcPr>
            <w:tcW w:w="76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v1.0</w:t>
            </w:r>
          </w:p>
        </w:tc>
      </w:tr>
      <w:tr>
        <w:tc>
          <w:tcPr>
            <w:tcW w:w="22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기준일</w:t>
            </w:r>
          </w:p>
        </w:tc>
        <w:tc>
          <w:tcPr>
            <w:tcW w:w="76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2026년 10월 28일</w:t>
            </w:r>
          </w:p>
        </w:tc>
      </w:tr>
      <w:tr>
        <w:tc>
          <w:tcPr>
            <w:tcW w:w="2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대상 사용자</w:t>
            </w:r>
          </w:p>
        </w:tc>
        <w:tc>
          <w:tcPr>
            <w:tcW w:w="76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대표이사  팀장  현장담당자  관리 회계 담당자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20" w:line="290"/>
      </w:pPr>
      <w:r>
        <w:rPr>
          <w:b/>
          <w:rFonts w:ascii="Aptos" w:hAnsi="Aptos" w:eastAsia="Malgun Gothic"/>
          <w:color w:val="000000"/>
          <w:sz w:val="32"/>
        </w:rPr>
        <w:t xml:space="preserve">1  이 매뉴얼을 사용하는 방법</w:t>
      </w:r>
    </w:p>
    <w:p>
      <w:pPr>
        <w:spacing w:before="0" w:after="100" w:line="290"/>
      </w:pPr>
      <w:r>
        <w:rPr>
          <w:rFonts w:ascii="Aptos" w:hAnsi="Aptos" w:eastAsia="Malgun Gothic"/>
          <w:color w:val="202124"/>
          <w:sz w:val="21"/>
        </w:rPr>
        <w:t xml:space="preserve">이 문서는 실제 시스템에 표시되는 메뉴명과 입력 흐름을 기준으로 작성했습니다. 먼저 프로젝트를 선택한 뒤, 상단 통합현황과 프로젝트별 탭을 따라 업무를 진행하면 됩니다.</w:t>
      </w:r>
    </w:p>
    <w:tbl>
      <w:tblPr>
        <w:tblLayout w:type="fixed"/>
      </w:tblPr>
      <w:tblGrid>
        <w:gridCol w:w="1600"/>
        <w:gridCol w:w="4000"/>
        <w:gridCol w:w="4200"/>
      </w:tblGrid>
      <w:tr>
        <w:trPr>
          <w:tblHeader/>
        </w:trPr>
        <w:tc>
          <w:tcPr>
            <w:tcW w:w="16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표기</w:t>
            </w:r>
          </w:p>
        </w:tc>
        <w:tc>
          <w:tcPr>
            <w:tcW w:w="4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의미</w:t>
            </w:r>
          </w:p>
        </w:tc>
        <w:tc>
          <w:tcPr>
            <w:tcW w:w="42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사용 방법</w:t>
            </w:r>
          </w:p>
        </w:tc>
      </w:tr>
      <w:tr>
        <w:tc>
          <w:tcPr>
            <w:tcW w:w="16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화면 예시</w:t>
            </w:r>
          </w:p>
        </w:tc>
        <w:tc>
          <w:tcPr>
            <w:tcW w:w="4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실제 UI의 메뉴와 주요 정보 배치를 단순화한 구성도</w:t>
            </w:r>
          </w:p>
        </w:tc>
        <w:tc>
          <w:tcPr>
            <w:tcW w:w="4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화면에서 찾을 위치를 먼저 확인합니다.</w:t>
            </w:r>
          </w:p>
        </w:tc>
      </w:tr>
      <w:tr>
        <w:tc>
          <w:tcPr>
            <w:tcW w:w="16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입력</w:t>
            </w:r>
          </w:p>
        </w:tc>
        <w:tc>
          <w:tcPr>
            <w:tcW w:w="4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사용자가 직접 작성하거나 선택하는 필드</w:t>
            </w:r>
          </w:p>
        </w:tc>
        <w:tc>
          <w:tcPr>
            <w:tcW w:w="42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금액, 사유, 담당자, 첨부파일을 입력합니다.</w:t>
            </w:r>
          </w:p>
        </w:tc>
      </w:tr>
      <w:tr>
        <w:tc>
          <w:tcPr>
            <w:tcW w:w="16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결재요청</w:t>
            </w:r>
          </w:p>
        </w:tc>
        <w:tc>
          <w:tcPr>
            <w:tcW w:w="4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대표 또는 결재권자 검토가 필요한 단계</w:t>
            </w:r>
          </w:p>
        </w:tc>
        <w:tc>
          <w:tcPr>
            <w:tcW w:w="4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저장 후 통합결재함에서 상태를 확인합니다.</w:t>
            </w:r>
          </w:p>
        </w:tc>
      </w:tr>
      <w:tr>
        <w:tc>
          <w:tcPr>
            <w:tcW w:w="16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주의</w:t>
            </w:r>
          </w:p>
        </w:tc>
        <w:tc>
          <w:tcPr>
            <w:tcW w:w="4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금액 흐름과 이력 보존을 위한 업무 규칙</w:t>
            </w:r>
          </w:p>
        </w:tc>
        <w:tc>
          <w:tcPr>
            <w:tcW w:w="42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승인본을 덮어쓰지 않고 변경 차수를 사용합니다.</w:t>
            </w:r>
          </w:p>
        </w:tc>
      </w:tr>
    </w:tbl>
    <w:p>
      <w:pPr>
        <w:spacing w:after="70"/>
      </w:pPr>
    </w:p>
    <w:p>
      <w:pPr>
        <w:spacing w:before="70" w:after="70" w:line="290"/>
      </w:pPr>
      <w:r>
        <w:rPr>
          <w:b/>
          <w:rFonts w:ascii="Aptos" w:hAnsi="Aptos" w:eastAsia="Malgun Gothic"/>
          <w:color w:val="000000"/>
          <w:sz w:val="25"/>
        </w:rPr>
        <w:t xml:space="preserve">전체 업무 흐름</w:t>
      </w:r>
    </w:p>
    <w:tbl>
      <w:tblPr>
        <w:tblLayout w:type="fixed"/>
      </w:tblPr>
      <w:tblGrid>
        <w:gridCol w:w="700"/>
        <w:gridCol w:w="2200"/>
        <w:gridCol w:w="3500"/>
        <w:gridCol w:w="3400"/>
      </w:tblGrid>
      <w:tr>
        <w:trPr>
          <w:tblHeader/>
        </w:trPr>
        <w:tc>
          <w:tcPr>
            <w:tcW w:w="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순서</w:t>
            </w:r>
          </w:p>
        </w:tc>
        <w:tc>
          <w:tcPr>
            <w:tcW w:w="22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업무 단계</w:t>
            </w:r>
          </w:p>
        </w:tc>
        <w:tc>
          <w:tcPr>
            <w:tcW w:w="35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주요 산출물</w:t>
            </w:r>
          </w:p>
        </w:tc>
        <w:tc>
          <w:tcPr>
            <w:tcW w:w="34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확인 화면</w:t>
            </w:r>
          </w:p>
        </w:tc>
      </w:tr>
      <w:tr>
        <w:tc>
          <w:tcPr>
            <w:tcW w:w="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2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등록</w:t>
            </w:r>
          </w:p>
        </w:tc>
        <w:tc>
          <w:tcPr>
            <w:tcW w:w="35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번호와 기본 일정</w:t>
            </w:r>
          </w:p>
        </w:tc>
        <w:tc>
          <w:tcPr>
            <w:tcW w:w="34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현황</w:t>
            </w:r>
          </w:p>
        </w:tc>
      </w:tr>
      <w:tr>
        <w:tc>
          <w:tcPr>
            <w:tcW w:w="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22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고객 계약</w:t>
            </w:r>
          </w:p>
        </w:tc>
        <w:tc>
          <w:tcPr>
            <w:tcW w:w="35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계약 공종과 계약금액</w:t>
            </w:r>
          </w:p>
        </w:tc>
        <w:tc>
          <w:tcPr>
            <w:tcW w:w="34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고객 견적 계약 관리</w:t>
            </w:r>
          </w:p>
        </w:tc>
      </w:tr>
      <w:tr>
        <w:tc>
          <w:tcPr>
            <w:tcW w:w="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2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세부실행예산</w:t>
            </w:r>
          </w:p>
        </w:tc>
        <w:tc>
          <w:tcPr>
            <w:tcW w:w="35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공종별 실행항목과 원가</w:t>
            </w:r>
          </w:p>
        </w:tc>
        <w:tc>
          <w:tcPr>
            <w:tcW w:w="34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세부실행예산</w:t>
            </w:r>
          </w:p>
        </w:tc>
      </w:tr>
      <w:tr>
        <w:tc>
          <w:tcPr>
            <w:tcW w:w="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4</w:t>
            </w:r>
          </w:p>
        </w:tc>
        <w:tc>
          <w:tcPr>
            <w:tcW w:w="22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업체 비교와 발주</w:t>
            </w:r>
          </w:p>
        </w:tc>
        <w:tc>
          <w:tcPr>
            <w:tcW w:w="35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선정업체와 발주품의</w:t>
            </w:r>
          </w:p>
        </w:tc>
        <w:tc>
          <w:tcPr>
            <w:tcW w:w="34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업체 비교견적</w:t>
            </w:r>
          </w:p>
        </w:tc>
      </w:tr>
      <w:tr>
        <w:tc>
          <w:tcPr>
            <w:tcW w:w="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5</w:t>
            </w:r>
          </w:p>
        </w:tc>
        <w:tc>
          <w:tcPr>
            <w:tcW w:w="2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기성과 지급</w:t>
            </w:r>
          </w:p>
        </w:tc>
        <w:tc>
          <w:tcPr>
            <w:tcW w:w="35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차수별 기성 및 지급결재</w:t>
            </w:r>
          </w:p>
        </w:tc>
        <w:tc>
          <w:tcPr>
            <w:tcW w:w="34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기성 및 지급 현황</w:t>
            </w:r>
          </w:p>
        </w:tc>
      </w:tr>
      <w:tr>
        <w:tc>
          <w:tcPr>
            <w:tcW w:w="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6</w:t>
            </w:r>
          </w:p>
        </w:tc>
        <w:tc>
          <w:tcPr>
            <w:tcW w:w="22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준공정산</w:t>
            </w:r>
          </w:p>
        </w:tc>
        <w:tc>
          <w:tcPr>
            <w:tcW w:w="35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최종 원가와 이익 및 결재</w:t>
            </w:r>
          </w:p>
        </w:tc>
        <w:tc>
          <w:tcPr>
            <w:tcW w:w="34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준공정산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2  처음 시작하기</w:t>
      </w:r>
    </w:p>
    <w:p>
      <w:pPr>
        <w:spacing w:before="80" w:after="40" w:line="290"/>
      </w:pPr>
      <w:r>
        <w:rPr>
          <w:b/>
          <w:rFonts w:ascii="Aptos" w:hAnsi="Aptos" w:eastAsia="Malgun Gothic"/>
          <w:color w:val="000000"/>
          <w:sz w:val="20"/>
        </w:rPr>
        <w:t xml:space="preserve">화면 예시  프로젝트 목록</w:t>
      </w:r>
    </w:p>
    <w:tbl>
      <w:tblPr>
        <w:tblLayout w:type="fixed"/>
      </w:tblPr>
      <w:tblGrid>
        <w:gridCol w:w="9800"/>
      </w:tblGrid>
      <w:tr>
        <w:tc>
          <w:tcPr>
            <w:tcW w:w="98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rFonts w:ascii="Aptos" w:hAnsi="Aptos" w:eastAsia="Malgun Gothic"/>
                <w:color w:val="FFFFFF"/>
                <w:sz w:val="18"/>
              </w:rPr>
              <w:t xml:space="preserve">아이엔씨 ERP   |   공사 통합관리</w:t>
            </w:r>
          </w:p>
        </w:tc>
      </w:tr>
      <w:tr>
        <w:tc>
          <w:tcPr>
            <w:tcW w:w="9800" w:type="dxa"/>
          </w:tcPr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D9EAF7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rFonts w:ascii="Aptos" w:hAnsi="Aptos" w:eastAsia="Malgun Gothic"/>
                      <w:color w:val="1F4E79"/>
                      <w:sz w:val="15"/>
                    </w:rPr>
                    <w:t xml:space="preserve">프로젝트 현황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통합결재함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변경관리 이력</w:t>
                  </w:r>
                </w:p>
              </w:tc>
            </w:tr>
          </w:tbl>
          <w:p>
            <w:pPr>
              <w:spacing w:before="60" w:after="60" w:line="290"/>
            </w:pPr>
            <w:r>
              <w:rPr>
                <w:b/>
                <w:rFonts w:ascii="Aptos" w:hAnsi="Aptos" w:eastAsia="Malgun Gothic"/>
                <w:color w:val="202124"/>
                <w:sz w:val="24"/>
              </w:rPr>
              <w:t xml:space="preserve">프로젝트 목록</w:t>
            </w:r>
          </w:p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프로젝트명 프로젝트번호  |  성가수녀원 리뉴얼공사  |  P-2026-001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고객 현장  |  성가수녀원  |  서울시 성북구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일정 상태  |  2026-03-10 시작  |  공사진행</w:t>
                  </w:r>
                </w:p>
              </w:tc>
            </w:tr>
          </w:tbl>
          <w:p>
            <w:pPr>
              <w:spacing w:before="30" w:after="40" w:line="290"/>
            </w:pPr>
            <w:r>
              <w:rPr>
                <w:rFonts w:ascii="Aptos" w:hAnsi="Aptos" w:eastAsia="Malgun Gothic"/>
                <w:color w:val="5B6573"/>
                <w:sz w:val="15"/>
              </w:rPr>
              <w:t xml:space="preserve">프로젝트명 또는 프로젝트번호로 검색한 뒤, 목록의 프로젝트 행을 선택하면 통합현황 상세로 이동합니다.</w:t>
            </w:r>
          </w:p>
        </w:tc>
      </w:tr>
    </w:tbl>
    <w:p/>
    <w:p>
      <w:pPr>
        <w:spacing w:before="40" w:after="50" w:line="290"/>
      </w:pPr>
      <w:r>
        <w:rPr>
          <w:b/>
          <w:rFonts w:ascii="Aptos" w:hAnsi="Aptos" w:eastAsia="Malgun Gothic"/>
          <w:color w:val="000000"/>
          <w:sz w:val="25"/>
        </w:rPr>
        <w:t xml:space="preserve">처리 순서와 주의사항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프로젝트 현황에서 프로젝트 등록을 누르면 신규 프로젝트의 기본정보를 등록합니다.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프로젝트명 행을 누르면 해당 프로젝트의 통합현황과 세부 업무 탭이 열립니다.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통합결재함은 여러 프로젝트의 결재를 한 화면에서 확인하는 전역 메뉴입니다.</w:t>
      </w:r>
    </w:p>
    <w:tbl>
      <w:tblPr>
        <w:tblLayout w:type="fixed"/>
      </w:tblPr>
      <w:tblGrid>
        <w:gridCol w:w="900"/>
        <w:gridCol w:w="5700"/>
        <w:gridCol w:w="3000"/>
      </w:tblGrid>
      <w:tr>
        <w:trPr>
          <w:tblHeader/>
        </w:trPr>
        <w:tc>
          <w:tcPr>
            <w:tcW w:w="9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프로젝트명과 고객 발주처</w:t>
            </w:r>
          </w:p>
        </w:tc>
        <w:tc>
          <w:tcPr>
            <w:tcW w:w="5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계약서의 공식 명칭을 사용</w:t>
            </w:r>
          </w:p>
        </w:tc>
        <w:tc>
          <w:tcPr>
            <w:tcW w:w="3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목록과 결재문서의 식별 기준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현황에서 프로젝트 등록을 누르면 신규 프로젝트의 기본정보를 등록합니다.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5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프로젝트명 행을 누르면 해당 프로젝트의 통합현황과 세부 업무 탭이 열립니다.</w:t>
            </w:r>
          </w:p>
        </w:tc>
        <w:tc>
          <w:tcPr>
            <w:tcW w:w="3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통합결재함은 여러 프로젝트의 결재를 한 화면에서 확인하는 전역 메뉴입니다.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3  프로젝트 통합현황 읽기</w:t>
      </w:r>
    </w:p>
    <w:p>
      <w:pPr>
        <w:spacing w:before="80" w:after="40" w:line="290"/>
      </w:pPr>
      <w:r>
        <w:rPr>
          <w:b/>
          <w:rFonts w:ascii="Aptos" w:hAnsi="Aptos" w:eastAsia="Malgun Gothic"/>
          <w:color w:val="000000"/>
          <w:sz w:val="20"/>
        </w:rPr>
        <w:t xml:space="preserve">화면 예시  성가수녀원 리뉴얼공사  공사진행</w:t>
      </w:r>
    </w:p>
    <w:tbl>
      <w:tblPr>
        <w:tblLayout w:type="fixed"/>
      </w:tblPr>
      <w:tblGrid>
        <w:gridCol w:w="9800"/>
      </w:tblGrid>
      <w:tr>
        <w:tc>
          <w:tcPr>
            <w:tcW w:w="98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rFonts w:ascii="Aptos" w:hAnsi="Aptos" w:eastAsia="Malgun Gothic"/>
                <w:color w:val="FFFFFF"/>
                <w:sz w:val="18"/>
              </w:rPr>
              <w:t xml:space="preserve">아이엔씨 ERP   |   공사 통합관리</w:t>
            </w:r>
          </w:p>
        </w:tc>
      </w:tr>
      <w:tr>
        <w:tc>
          <w:tcPr>
            <w:tcW w:w="9800" w:type="dxa"/>
          </w:tcPr>
          <w:tbl>
            <w:tblPr>
              <w:tblLayout w:type="fixed"/>
            </w:tblPr>
            <w:tblGrid>
              <w:gridCol w:w="1880"/>
              <w:gridCol w:w="1880"/>
              <w:gridCol w:w="1880"/>
              <w:gridCol w:w="1880"/>
              <w:gridCol w:w="1880"/>
            </w:tblGrid>
            <w:tr>
              <w:tc>
                <w:tcPr>
                  <w:tcW w:w="1880" w:type="dxa"/>
                  <w:shd w:fill="D9EAF7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rFonts w:ascii="Aptos" w:hAnsi="Aptos" w:eastAsia="Malgun Gothic"/>
                      <w:color w:val="1F4E79"/>
                      <w:sz w:val="15"/>
                    </w:rPr>
                    <w:t xml:space="preserve">고객 견적 계약 관리</w:t>
                  </w:r>
                </w:p>
              </w:tc>
              <w:tc>
                <w:tcPr>
                  <w:tcW w:w="1880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세부실행예산</w:t>
                  </w:r>
                </w:p>
              </w:tc>
              <w:tc>
                <w:tcPr>
                  <w:tcW w:w="1880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업체 비교견적</w:t>
                  </w:r>
                </w:p>
              </w:tc>
              <w:tc>
                <w:tcPr>
                  <w:tcW w:w="1880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기성 및 지급 현황</w:t>
                  </w:r>
                </w:p>
              </w:tc>
              <w:tc>
                <w:tcPr>
                  <w:tcW w:w="1880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준공정산</w:t>
                  </w:r>
                </w:p>
              </w:tc>
            </w:tr>
          </w:tbl>
          <w:p>
            <w:pPr>
              <w:spacing w:before="60" w:after="60" w:line="290"/>
            </w:pPr>
            <w:r>
              <w:rPr>
                <w:b/>
                <w:rFonts w:ascii="Aptos" w:hAnsi="Aptos" w:eastAsia="Malgun Gothic"/>
                <w:color w:val="202124"/>
                <w:sz w:val="24"/>
              </w:rPr>
              <w:t xml:space="preserve">성가수녀원 리뉴얼공사  공사진행</w:t>
            </w:r>
          </w:p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현재 계약금액  |  220,000,000 원  |  현재 승인 계약 공급가액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목표 원가한도  |  121,000,000 원  |  목표 이익률 기준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예상 이익 이익률  |  103,780,000 원  47.2%  |  계약금액 - 예상 최종원가</w:t>
                  </w:r>
                </w:p>
              </w:tc>
            </w:tr>
          </w:tbl>
          <w:p>
            <w:pPr>
              <w:spacing w:before="30" w:after="40" w:line="290"/>
            </w:pPr>
            <w:r>
              <w:rPr>
                <w:rFonts w:ascii="Aptos" w:hAnsi="Aptos" w:eastAsia="Malgun Gothic"/>
                <w:color w:val="5B6573"/>
                <w:sz w:val="15"/>
              </w:rPr>
              <w:t xml:space="preserve">모든 집계는 현재 승인 차수를 기준으로 표시됩니다. 이전 차수의 기록은 보존되지만 현재 총액에는 포함되지 않습니다.</w:t>
            </w:r>
          </w:p>
        </w:tc>
      </w:tr>
    </w:tbl>
    <w:p/>
    <w:p>
      <w:pPr>
        <w:spacing w:before="40" w:after="50" w:line="290"/>
      </w:pPr>
      <w:r>
        <w:rPr>
          <w:b/>
          <w:rFonts w:ascii="Aptos" w:hAnsi="Aptos" w:eastAsia="Malgun Gothic"/>
          <w:color w:val="000000"/>
          <w:sz w:val="25"/>
        </w:rPr>
        <w:t xml:space="preserve">처리 순서와 주의사항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목표원가한도는 계약 공급가액과 목표 이익률로 자동 계산됩니다.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예상 최종원가는 확정 발주와 미발주 실행예산 및 직접 정산비를 반영합니다.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승인 후 미지급은 승인 기성누계에서 실제 지급누계를 뺀 지급 대상 금액입니다.</w:t>
      </w:r>
    </w:p>
    <w:tbl>
      <w:tblPr>
        <w:tblLayout w:type="fixed"/>
      </w:tblPr>
      <w:tblGrid>
        <w:gridCol w:w="900"/>
        <w:gridCol w:w="5700"/>
        <w:gridCol w:w="3000"/>
      </w:tblGrid>
      <w:tr>
        <w:trPr>
          <w:tblHeader/>
        </w:trPr>
        <w:tc>
          <w:tcPr>
            <w:tcW w:w="9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지표</w:t>
            </w:r>
          </w:p>
        </w:tc>
        <w:tc>
          <w:tcPr>
            <w:tcW w:w="5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확인 방법</w:t>
            </w:r>
          </w:p>
        </w:tc>
        <w:tc>
          <w:tcPr>
            <w:tcW w:w="3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주의점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목표원가한도는 계약 공급가액과 목표 이익률로 자동 계산됩니다.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5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예상 최종원가는 확정 발주와 미발주 실행예산 및 직접 정산비를 반영합니다.</w:t>
            </w:r>
          </w:p>
        </w:tc>
        <w:tc>
          <w:tcPr>
            <w:tcW w:w="3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승인 후 미지급은 승인 기성누계에서 실제 지급누계를 뺀 지급 대상 금액입니다.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4  고객 견적과 계약 관리</w:t>
      </w:r>
    </w:p>
    <w:p>
      <w:pPr>
        <w:spacing w:before="80" w:after="40" w:line="290"/>
      </w:pPr>
      <w:r>
        <w:rPr>
          <w:b/>
          <w:rFonts w:ascii="Aptos" w:hAnsi="Aptos" w:eastAsia="Malgun Gothic"/>
          <w:color w:val="000000"/>
          <w:sz w:val="20"/>
        </w:rPr>
        <w:t xml:space="preserve">화면 예시  고객 견적 계약 관리</w:t>
      </w:r>
    </w:p>
    <w:tbl>
      <w:tblPr>
        <w:tblLayout w:type="fixed"/>
      </w:tblPr>
      <w:tblGrid>
        <w:gridCol w:w="9800"/>
      </w:tblGrid>
      <w:tr>
        <w:tc>
          <w:tcPr>
            <w:tcW w:w="98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rFonts w:ascii="Aptos" w:hAnsi="Aptos" w:eastAsia="Malgun Gothic"/>
                <w:color w:val="FFFFFF"/>
                <w:sz w:val="18"/>
              </w:rPr>
              <w:t xml:space="preserve">아이엔씨 ERP   |   공사 통합관리</w:t>
            </w:r>
          </w:p>
        </w:tc>
      </w:tr>
      <w:tr>
        <w:tc>
          <w:tcPr>
            <w:tcW w:w="9800" w:type="dxa"/>
          </w:tcPr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D9EAF7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rFonts w:ascii="Aptos" w:hAnsi="Aptos" w:eastAsia="Malgun Gothic"/>
                      <w:color w:val="1F4E79"/>
                      <w:sz w:val="15"/>
                    </w:rPr>
                    <w:t xml:space="preserve">고객 견적 계약 관리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세부실행예산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업체 비교견적</w:t>
                  </w:r>
                </w:p>
              </w:tc>
            </w:tr>
          </w:tbl>
          <w:p>
            <w:pPr>
              <w:spacing w:before="60" w:after="60" w:line="290"/>
            </w:pPr>
            <w:r>
              <w:rPr>
                <w:b/>
                <w:rFonts w:ascii="Aptos" w:hAnsi="Aptos" w:eastAsia="Malgun Gothic"/>
                <w:color w:val="202124"/>
                <w:sz w:val="24"/>
              </w:rPr>
              <w:t xml:space="preserve">고객 견적 계약 관리</w:t>
            </w:r>
          </w:p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계약 총 공급가액  |  220,000,000 원  |  최초 계약 및 승인 변경 반영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목표 이익  |  99,000,000 원  |  목표 이익률 45 퍼센트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목표원가한도  |  121,000,000 원  |  계약 공급가액 기준</w:t>
                  </w:r>
                </w:p>
              </w:tc>
            </w:tr>
          </w:tbl>
          <w:p>
            <w:pPr>
              <w:spacing w:before="30" w:after="40" w:line="290"/>
            </w:pPr>
            <w:r>
              <w:rPr>
                <w:rFonts w:ascii="Aptos" w:hAnsi="Aptos" w:eastAsia="Malgun Gothic"/>
                <w:color w:val="5B6573"/>
                <w:sz w:val="15"/>
              </w:rPr>
              <w:t xml:space="preserve">계약 공급가액을 입력하면 VAT가 자동 계산됩니다. 승인된 최초 금액은 수정하지 말고 계약 변경안을 작성합니다.</w:t>
            </w:r>
          </w:p>
        </w:tc>
      </w:tr>
    </w:tbl>
    <w:p/>
    <w:p>
      <w:pPr>
        <w:spacing w:before="40" w:after="50" w:line="290"/>
      </w:pPr>
      <w:r>
        <w:rPr>
          <w:b/>
          <w:rFonts w:ascii="Aptos" w:hAnsi="Aptos" w:eastAsia="Malgun Gothic"/>
          <w:color w:val="000000"/>
          <w:sz w:val="25"/>
        </w:rPr>
        <w:t xml:space="preserve">처리 순서와 주의사항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공종별 견적 제출 금액과 최종 계약 공급가액을 입력합니다.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견적서와 계약서를 구분해 첨부한 뒤 계약 저장을 누릅니다.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계약금액 또는 계약 공종을 바꿔야 하면 계약 변경안과 변경 차수를 작성합니다.</w:t>
      </w:r>
    </w:p>
    <w:tbl>
      <w:tblPr>
        <w:tblLayout w:type="fixed"/>
      </w:tblPr>
      <w:tblGrid>
        <w:gridCol w:w="900"/>
        <w:gridCol w:w="5700"/>
        <w:gridCol w:w="3000"/>
      </w:tblGrid>
      <w:tr>
        <w:trPr>
          <w:tblHeader/>
        </w:trPr>
        <w:tc>
          <w:tcPr>
            <w:tcW w:w="9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입력 항목</w:t>
            </w:r>
          </w:p>
        </w:tc>
        <w:tc>
          <w:tcPr>
            <w:tcW w:w="5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작성 기준</w:t>
            </w:r>
          </w:p>
        </w:tc>
        <w:tc>
          <w:tcPr>
            <w:tcW w:w="3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자동 반영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공종별 견적 제출 금액과 최종 계약 공급가액을 입력합니다.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5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견적서와 계약서를 구분해 첨부한 뒤 계약 저장을 누릅니다.</w:t>
            </w:r>
          </w:p>
        </w:tc>
        <w:tc>
          <w:tcPr>
            <w:tcW w:w="3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계약금액 또는 계약 공종을 바꿔야 하면 계약 변경안과 변경 차수를 작성합니다.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5  세부실행예산 작성과 결재요청</w:t>
      </w:r>
    </w:p>
    <w:p>
      <w:pPr>
        <w:spacing w:before="80" w:after="40" w:line="290"/>
      </w:pPr>
      <w:r>
        <w:rPr>
          <w:b/>
          <w:rFonts w:ascii="Aptos" w:hAnsi="Aptos" w:eastAsia="Malgun Gothic"/>
          <w:color w:val="000000"/>
          <w:sz w:val="20"/>
        </w:rPr>
        <w:t xml:space="preserve">화면 예시  세부실행예산</w:t>
      </w:r>
    </w:p>
    <w:tbl>
      <w:tblPr>
        <w:tblLayout w:type="fixed"/>
      </w:tblPr>
      <w:tblGrid>
        <w:gridCol w:w="9800"/>
      </w:tblGrid>
      <w:tr>
        <w:tc>
          <w:tcPr>
            <w:tcW w:w="98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rFonts w:ascii="Aptos" w:hAnsi="Aptos" w:eastAsia="Malgun Gothic"/>
                <w:color w:val="FFFFFF"/>
                <w:sz w:val="18"/>
              </w:rPr>
              <w:t xml:space="preserve">아이엔씨 ERP   |   공사 통합관리</w:t>
            </w:r>
          </w:p>
        </w:tc>
      </w:tr>
      <w:tr>
        <w:tc>
          <w:tcPr>
            <w:tcW w:w="9800" w:type="dxa"/>
          </w:tcPr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D9EAF7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rFonts w:ascii="Aptos" w:hAnsi="Aptos" w:eastAsia="Malgun Gothic"/>
                      <w:color w:val="1F4E79"/>
                      <w:sz w:val="15"/>
                    </w:rPr>
                    <w:t xml:space="preserve">세부실행예산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업체 비교견적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계약 발주 이력</w:t>
                  </w:r>
                </w:p>
              </w:tc>
            </w:tr>
          </w:tbl>
          <w:p>
            <w:pPr>
              <w:spacing w:before="60" w:after="60" w:line="290"/>
            </w:pPr>
            <w:r>
              <w:rPr>
                <w:b/>
                <w:rFonts w:ascii="Aptos" w:hAnsi="Aptos" w:eastAsia="Malgun Gothic"/>
                <w:color w:val="202124"/>
                <w:sz w:val="24"/>
              </w:rPr>
              <w:t xml:space="preserve">세부실행예산</w:t>
            </w:r>
          </w:p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계약 공급가액  |  220,000,000 원  |  고객 계약 기준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목표원가한도  |  121,000,000 원  |  목표이익률 기준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세부실행예산 총합계  |  6,020,000 원  |  현재 작성 차수</w:t>
                  </w:r>
                </w:p>
              </w:tc>
            </w:tr>
          </w:tbl>
          <w:p>
            <w:pPr>
              <w:spacing w:before="30" w:after="40" w:line="290"/>
            </w:pPr>
            <w:r>
              <w:rPr>
                <w:rFonts w:ascii="Aptos" w:hAnsi="Aptos" w:eastAsia="Malgun Gothic"/>
                <w:color w:val="5B6573"/>
                <w:sz w:val="15"/>
              </w:rPr>
              <w:t xml:space="preserve">발주가 필요한 항목은 승인된 실행예산에서만 업체 비교견적의 선택 대상으로 표시됩니다.</w:t>
            </w:r>
          </w:p>
        </w:tc>
      </w:tr>
    </w:tbl>
    <w:p/>
    <w:p>
      <w:pPr>
        <w:spacing w:before="40" w:after="50" w:line="290"/>
      </w:pPr>
      <w:r>
        <w:rPr>
          <w:b/>
          <w:rFonts w:ascii="Aptos" w:hAnsi="Aptos" w:eastAsia="Malgun Gothic"/>
          <w:color w:val="000000"/>
          <w:sz w:val="25"/>
        </w:rPr>
        <w:t xml:space="preserve">처리 순서와 주의사항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같은 발주 단위는 같은 실행항목ID로 입력해 ID별 금액을 자동 집계합니다.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원가구분과 규격 단위 수량 단가를 입력하고 산출근거를 첨부합니다.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저장 후 결재요청을 해야 업체 비교견적 대상이 됩니다.</w:t>
      </w:r>
    </w:p>
    <w:tbl>
      <w:tblPr>
        <w:tblLayout w:type="fixed"/>
      </w:tblPr>
      <w:tblGrid>
        <w:gridCol w:w="900"/>
        <w:gridCol w:w="5700"/>
        <w:gridCol w:w="3000"/>
      </w:tblGrid>
      <w:tr>
        <w:trPr>
          <w:tblHeader/>
        </w:trPr>
        <w:tc>
          <w:tcPr>
            <w:tcW w:w="9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입력 항목</w:t>
            </w:r>
          </w:p>
        </w:tc>
        <w:tc>
          <w:tcPr>
            <w:tcW w:w="5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작성 기준</w:t>
            </w:r>
          </w:p>
        </w:tc>
        <w:tc>
          <w:tcPr>
            <w:tcW w:w="3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자동 반영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같은 발주 단위는 같은 실행항목ID로 입력해 ID별 금액을 자동 집계합니다.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5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원가구분과 규격 단위 수량 단가를 입력하고 산출근거를 첨부합니다.</w:t>
            </w:r>
          </w:p>
        </w:tc>
        <w:tc>
          <w:tcPr>
            <w:tcW w:w="3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저장 후 결재요청을 해야 업체 비교견적 대상이 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6  업체 비교견적과 발주품의</w:t>
      </w:r>
    </w:p>
    <w:p>
      <w:pPr>
        <w:spacing w:before="80" w:after="40" w:line="290"/>
      </w:pPr>
      <w:r>
        <w:rPr>
          <w:b/>
          <w:rFonts w:ascii="Aptos" w:hAnsi="Aptos" w:eastAsia="Malgun Gothic"/>
          <w:color w:val="000000"/>
          <w:sz w:val="20"/>
        </w:rPr>
        <w:t xml:space="preserve">화면 예시  업체 비교견적</w:t>
      </w:r>
    </w:p>
    <w:tbl>
      <w:tblPr>
        <w:tblLayout w:type="fixed"/>
      </w:tblPr>
      <w:tblGrid>
        <w:gridCol w:w="9800"/>
      </w:tblGrid>
      <w:tr>
        <w:tc>
          <w:tcPr>
            <w:tcW w:w="98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rFonts w:ascii="Aptos" w:hAnsi="Aptos" w:eastAsia="Malgun Gothic"/>
                <w:color w:val="FFFFFF"/>
                <w:sz w:val="18"/>
              </w:rPr>
              <w:t xml:space="preserve">아이엔씨 ERP   |   공사 통합관리</w:t>
            </w:r>
          </w:p>
        </w:tc>
      </w:tr>
      <w:tr>
        <w:tc>
          <w:tcPr>
            <w:tcW w:w="9800" w:type="dxa"/>
          </w:tcPr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D9EAF7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rFonts w:ascii="Aptos" w:hAnsi="Aptos" w:eastAsia="Malgun Gothic"/>
                      <w:color w:val="1F4E79"/>
                      <w:sz w:val="15"/>
                    </w:rPr>
                    <w:t xml:space="preserve">업체 비교견적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계약 발주 이력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기성 및 지급 현황</w:t>
                  </w:r>
                </w:p>
              </w:tc>
            </w:tr>
          </w:tbl>
          <w:p>
            <w:pPr>
              <w:spacing w:before="60" w:after="60" w:line="290"/>
            </w:pPr>
            <w:r>
              <w:rPr>
                <w:b/>
                <w:rFonts w:ascii="Aptos" w:hAnsi="Aptos" w:eastAsia="Malgun Gothic"/>
                <w:color w:val="202124"/>
                <w:sz w:val="24"/>
              </w:rPr>
              <w:t xml:space="preserve">업체 비교견적</w:t>
            </w:r>
          </w:p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실행항목ID  |  EX-001  |  승인된 실행예산 항목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승인 실행예산  |  6,020,000 원  |  롤업 금액 기준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발주품의 상태  |  미요청  |  선정 후 결재요청</w:t>
                  </w:r>
                </w:p>
              </w:tc>
            </w:tr>
          </w:tbl>
          <w:p>
            <w:pPr>
              <w:spacing w:before="30" w:after="40" w:line="290"/>
            </w:pPr>
            <w:r>
              <w:rPr>
                <w:rFonts w:ascii="Aptos" w:hAnsi="Aptos" w:eastAsia="Malgun Gothic"/>
                <w:color w:val="5B6573"/>
                <w:sz w:val="15"/>
              </w:rPr>
              <w:t xml:space="preserve">발주품의 요청 후에는 비교견적을 임의로 바꿀 수 없습니다. 선정되지 않은 업체는 비교 이력으로 남습니다.</w:t>
            </w:r>
          </w:p>
        </w:tc>
      </w:tr>
    </w:tbl>
    <w:p/>
    <w:p>
      <w:pPr>
        <w:spacing w:before="40" w:after="50" w:line="290"/>
      </w:pPr>
      <w:r>
        <w:rPr>
          <w:b/>
          <w:rFonts w:ascii="Aptos" w:hAnsi="Aptos" w:eastAsia="Malgun Gothic"/>
          <w:color w:val="000000"/>
          <w:sz w:val="25"/>
        </w:rPr>
        <w:t xml:space="preserve">처리 순서와 주의사항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승인된 실행예산 항목을 선택합니다.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업체별 견적금액, 공사기간, 결제조건을 입력하고 비교견적을 저장합니다.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한 업체를 선택하고 선정사유를 작성한 뒤 발주품의를 요청합니다.</w:t>
      </w:r>
    </w:p>
    <w:tbl>
      <w:tblPr>
        <w:tblLayout w:type="fixed"/>
      </w:tblPr>
      <w:tblGrid>
        <w:gridCol w:w="900"/>
        <w:gridCol w:w="5700"/>
        <w:gridCol w:w="3000"/>
      </w:tblGrid>
      <w:tr>
        <w:trPr>
          <w:tblHeader/>
        </w:trPr>
        <w:tc>
          <w:tcPr>
            <w:tcW w:w="9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처리 단계</w:t>
            </w:r>
          </w:p>
        </w:tc>
        <w:tc>
          <w:tcPr>
            <w:tcW w:w="5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입력 내용</w:t>
            </w:r>
          </w:p>
        </w:tc>
        <w:tc>
          <w:tcPr>
            <w:tcW w:w="3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결과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승인된 실행예산 항목을 선택합니다.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5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업체별 견적금액, 공사기간, 결제조건을 입력하고 비교견적을 저장합니다.</w:t>
            </w:r>
          </w:p>
        </w:tc>
        <w:tc>
          <w:tcPr>
            <w:tcW w:w="3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한 업체를 선택하고 선정사유를 작성한 뒤 발주품의를 요청합니다.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7  기성 및 지급 현황</w:t>
      </w:r>
    </w:p>
    <w:p>
      <w:pPr>
        <w:spacing w:before="80" w:after="40" w:line="290"/>
      </w:pPr>
      <w:r>
        <w:rPr>
          <w:b/>
          <w:rFonts w:ascii="Aptos" w:hAnsi="Aptos" w:eastAsia="Malgun Gothic"/>
          <w:color w:val="000000"/>
          <w:sz w:val="20"/>
        </w:rPr>
        <w:t xml:space="preserve">화면 예시  기성 및 지급 현황</w:t>
      </w:r>
    </w:p>
    <w:tbl>
      <w:tblPr>
        <w:tblLayout w:type="fixed"/>
      </w:tblPr>
      <w:tblGrid>
        <w:gridCol w:w="9800"/>
      </w:tblGrid>
      <w:tr>
        <w:tc>
          <w:tcPr>
            <w:tcW w:w="98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rFonts w:ascii="Aptos" w:hAnsi="Aptos" w:eastAsia="Malgun Gothic"/>
                <w:color w:val="FFFFFF"/>
                <w:sz w:val="18"/>
              </w:rPr>
              <w:t xml:space="preserve">아이엔씨 ERP   |   공사 통합관리</w:t>
            </w:r>
          </w:p>
        </w:tc>
      </w:tr>
      <w:tr>
        <w:tc>
          <w:tcPr>
            <w:tcW w:w="9800" w:type="dxa"/>
          </w:tcPr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D9EAF7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rFonts w:ascii="Aptos" w:hAnsi="Aptos" w:eastAsia="Malgun Gothic"/>
                      <w:color w:val="1F4E79"/>
                      <w:sz w:val="15"/>
                    </w:rPr>
                    <w:t xml:space="preserve">기성 및 지급 현황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계약 발주 이력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준공정산</w:t>
                  </w:r>
                </w:p>
              </w:tc>
            </w:tr>
          </w:tbl>
          <w:p>
            <w:pPr>
              <w:spacing w:before="60" w:after="60" w:line="290"/>
            </w:pPr>
            <w:r>
              <w:rPr>
                <w:b/>
                <w:rFonts w:ascii="Aptos" w:hAnsi="Aptos" w:eastAsia="Malgun Gothic"/>
                <w:color w:val="202124"/>
                <w:sz w:val="24"/>
              </w:rPr>
              <w:t xml:space="preserve">기성 및 지급 현황</w:t>
            </w:r>
          </w:p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현재 발주금액  |  110,200,000 원  |  승인된 현재 차수 발주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누적 기성금액  |  80,000,000 원  |  승인 기성 누계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실제 지급금액  |  70,000,000 원  |  실제 송금 완료 누계</w:t>
                  </w:r>
                </w:p>
              </w:tc>
            </w:tr>
          </w:tbl>
          <w:p>
            <w:pPr>
              <w:spacing w:before="30" w:after="40" w:line="290"/>
            </w:pPr>
            <w:r>
              <w:rPr>
                <w:rFonts w:ascii="Aptos" w:hAnsi="Aptos" w:eastAsia="Malgun Gothic"/>
                <w:color w:val="5B6573"/>
                <w:sz w:val="15"/>
              </w:rPr>
              <w:t xml:space="preserve">현재 승인 차수의 발주만 집계됩니다. 이전 차수 기록은 보존되며 현재 총액에서는 분리됩니다.</w:t>
            </w:r>
          </w:p>
        </w:tc>
      </w:tr>
    </w:tbl>
    <w:p/>
    <w:p>
      <w:pPr>
        <w:spacing w:before="40" w:after="50" w:line="290"/>
      </w:pPr>
      <w:r>
        <w:rPr>
          <w:b/>
          <w:rFonts w:ascii="Aptos" w:hAnsi="Aptos" w:eastAsia="Malgun Gothic"/>
          <w:color w:val="000000"/>
          <w:sz w:val="25"/>
        </w:rPr>
        <w:t xml:space="preserve">처리 순서와 주의사항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기성 등록은 발주를 선택한 뒤 차수와 청구금액을 입력해 결재요청합니다.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지급 요청은 승인 후 미지급 발주만 선택해 진행합니다.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미기성금액, 승인 후 미지급, 총 미지급 잔액을 함께 확인합니다.</w:t>
      </w:r>
    </w:p>
    <w:tbl>
      <w:tblPr>
        <w:tblLayout w:type="fixed"/>
      </w:tblPr>
      <w:tblGrid>
        <w:gridCol w:w="900"/>
        <w:gridCol w:w="5700"/>
        <w:gridCol w:w="3000"/>
      </w:tblGrid>
      <w:tr>
        <w:trPr>
          <w:tblHeader/>
        </w:trPr>
        <w:tc>
          <w:tcPr>
            <w:tcW w:w="9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구분</w:t>
            </w:r>
          </w:p>
        </w:tc>
        <w:tc>
          <w:tcPr>
            <w:tcW w:w="5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뜻</w:t>
            </w:r>
          </w:p>
        </w:tc>
        <w:tc>
          <w:tcPr>
            <w:tcW w:w="3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업무 판단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기성 등록은 발주를 선택한 뒤 차수와 청구금액을 입력해 결재요청합니다.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5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지급 요청은 승인 후 미지급 발주만 선택해 진행합니다.</w:t>
            </w:r>
          </w:p>
        </w:tc>
        <w:tc>
          <w:tcPr>
            <w:tcW w:w="3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미기성금액, 승인 후 미지급, 총 미지급 잔액을 함께 확인합니다.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8  통합결재함 처리</w:t>
      </w:r>
    </w:p>
    <w:p>
      <w:pPr>
        <w:spacing w:before="80" w:after="40" w:line="290"/>
      </w:pPr>
      <w:r>
        <w:rPr>
          <w:b/>
          <w:rFonts w:ascii="Aptos" w:hAnsi="Aptos" w:eastAsia="Malgun Gothic"/>
          <w:color w:val="000000"/>
          <w:sz w:val="20"/>
        </w:rPr>
        <w:t xml:space="preserve">화면 예시  통합결재함</w:t>
      </w:r>
    </w:p>
    <w:tbl>
      <w:tblPr>
        <w:tblLayout w:type="fixed"/>
      </w:tblPr>
      <w:tblGrid>
        <w:gridCol w:w="9800"/>
      </w:tblGrid>
      <w:tr>
        <w:tc>
          <w:tcPr>
            <w:tcW w:w="98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rFonts w:ascii="Aptos" w:hAnsi="Aptos" w:eastAsia="Malgun Gothic"/>
                <w:color w:val="FFFFFF"/>
                <w:sz w:val="18"/>
              </w:rPr>
              <w:t xml:space="preserve">아이엔씨 ERP   |   공사 통합관리</w:t>
            </w:r>
          </w:p>
        </w:tc>
      </w:tr>
      <w:tr>
        <w:tc>
          <w:tcPr>
            <w:tcW w:w="9800" w:type="dxa"/>
          </w:tcPr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D9EAF7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rFonts w:ascii="Aptos" w:hAnsi="Aptos" w:eastAsia="Malgun Gothic"/>
                      <w:color w:val="1F4E79"/>
                      <w:sz w:val="15"/>
                    </w:rPr>
                    <w:t xml:space="preserve">통합결재함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프로젝트 현황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변경관리 이력</w:t>
                  </w:r>
                </w:p>
              </w:tc>
            </w:tr>
          </w:tbl>
          <w:p>
            <w:pPr>
              <w:spacing w:before="60" w:after="60" w:line="290"/>
            </w:pPr>
            <w:r>
              <w:rPr>
                <w:b/>
                <w:rFonts w:ascii="Aptos" w:hAnsi="Aptos" w:eastAsia="Malgun Gothic"/>
                <w:color w:val="202124"/>
                <w:sz w:val="24"/>
              </w:rPr>
              <w:t xml:space="preserve">통합결재함</w:t>
            </w:r>
          </w:p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필터  |  결재대기 승인 반려  |  전체 유형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결재 목록  |  요청일 프로젝트 유형  |  제목 요청금액 증감 상태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결재 상세  |  요청 내용과 첨부 확인  |  승인 또는 반려</w:t>
                  </w:r>
                </w:p>
              </w:tc>
            </w:tr>
          </w:tbl>
          <w:p>
            <w:pPr>
              <w:spacing w:before="30" w:after="40" w:line="290"/>
            </w:pPr>
            <w:r>
              <w:rPr>
                <w:rFonts w:ascii="Aptos" w:hAnsi="Aptos" w:eastAsia="Malgun Gothic"/>
                <w:color w:val="5B6573"/>
                <w:sz w:val="15"/>
              </w:rPr>
              <w:t xml:space="preserve">목록에는 순번과 요청 시간이 분 단위로 표시됩니다. 결재 후에는 관련 프로젝트의 금액과 상태가 자동 갱신됩니다.</w:t>
            </w:r>
          </w:p>
        </w:tc>
      </w:tr>
    </w:tbl>
    <w:p/>
    <w:p>
      <w:pPr>
        <w:spacing w:before="40" w:after="50" w:line="290"/>
      </w:pPr>
      <w:r>
        <w:rPr>
          <w:b/>
          <w:rFonts w:ascii="Aptos" w:hAnsi="Aptos" w:eastAsia="Malgun Gothic"/>
          <w:color w:val="000000"/>
          <w:sz w:val="25"/>
        </w:rPr>
        <w:t xml:space="preserve">처리 순서와 주의사항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실행예산은 산출근거와 목표원가한도를 검토합니다.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발주는 선정업체와 견적 대비 차이 및 선정사유를 확인합니다.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준공정산은 미지급 사유와 최종 원가 및 이익을 확인합니다.</w:t>
      </w:r>
    </w:p>
    <w:tbl>
      <w:tblPr>
        <w:tblLayout w:type="fixed"/>
      </w:tblPr>
      <w:tblGrid>
        <w:gridCol w:w="900"/>
        <w:gridCol w:w="5700"/>
        <w:gridCol w:w="3000"/>
      </w:tblGrid>
      <w:tr>
        <w:trPr>
          <w:tblHeader/>
        </w:trPr>
        <w:tc>
          <w:tcPr>
            <w:tcW w:w="9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결재 유형</w:t>
            </w:r>
          </w:p>
        </w:tc>
        <w:tc>
          <w:tcPr>
            <w:tcW w:w="5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승인 전 확인</w:t>
            </w:r>
          </w:p>
        </w:tc>
        <w:tc>
          <w:tcPr>
            <w:tcW w:w="3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승인 후 결과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실행예산은 산출근거와 목표원가한도를 검토합니다.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5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발주는 선정업체와 견적 대비 차이 및 선정사유를 확인합니다.</w:t>
            </w:r>
          </w:p>
        </w:tc>
        <w:tc>
          <w:tcPr>
            <w:tcW w:w="3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준공정산은 미지급 사유와 최종 원가 및 이익을 확인합니다.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9  계약 변경 차수와 이력 관리</w:t>
      </w:r>
    </w:p>
    <w:p>
      <w:pPr>
        <w:spacing w:before="80" w:after="40" w:line="290"/>
      </w:pPr>
      <w:r>
        <w:rPr>
          <w:b/>
          <w:rFonts w:ascii="Aptos" w:hAnsi="Aptos" w:eastAsia="Malgun Gothic"/>
          <w:color w:val="000000"/>
          <w:sz w:val="20"/>
        </w:rPr>
        <w:t xml:space="preserve">화면 예시  계약 변경 차수 관리</w:t>
      </w:r>
    </w:p>
    <w:tbl>
      <w:tblPr>
        <w:tblLayout w:type="fixed"/>
      </w:tblPr>
      <w:tblGrid>
        <w:gridCol w:w="9800"/>
      </w:tblGrid>
      <w:tr>
        <w:tc>
          <w:tcPr>
            <w:tcW w:w="98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rFonts w:ascii="Aptos" w:hAnsi="Aptos" w:eastAsia="Malgun Gothic"/>
                <w:color w:val="FFFFFF"/>
                <w:sz w:val="18"/>
              </w:rPr>
              <w:t xml:space="preserve">아이엔씨 ERP   |   공사 통합관리</w:t>
            </w:r>
          </w:p>
        </w:tc>
      </w:tr>
      <w:tr>
        <w:tc>
          <w:tcPr>
            <w:tcW w:w="9800" w:type="dxa"/>
          </w:tcPr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D9EAF7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rFonts w:ascii="Aptos" w:hAnsi="Aptos" w:eastAsia="Malgun Gothic"/>
                      <w:color w:val="1F4E79"/>
                      <w:sz w:val="15"/>
                    </w:rPr>
                    <w:t xml:space="preserve">변경관리 이력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프로젝트 현황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통합결재함</w:t>
                  </w:r>
                </w:p>
              </w:tc>
            </w:tr>
          </w:tbl>
          <w:p>
            <w:pPr>
              <w:spacing w:before="60" w:after="60" w:line="290"/>
            </w:pPr>
            <w:r>
              <w:rPr>
                <w:b/>
                <w:rFonts w:ascii="Aptos" w:hAnsi="Aptos" w:eastAsia="Malgun Gothic"/>
                <w:color w:val="202124"/>
                <w:sz w:val="24"/>
              </w:rPr>
              <w:t xml:space="preserve">계약 변경 차수 관리</w:t>
            </w:r>
          </w:p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대상 프로젝트  |  P-2026-001  |  성가수녀원 리뉴얼공사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새 차수 작성  |  차수 제목  |  변경 사유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관리 원칙  |  최초 금액 보존  |  현재금액 자동 계산</w:t>
                  </w:r>
                </w:p>
              </w:tc>
            </w:tr>
          </w:tbl>
          <w:p>
            <w:pPr>
              <w:spacing w:before="30" w:after="40" w:line="290"/>
            </w:pPr>
            <w:r>
              <w:rPr>
                <w:rFonts w:ascii="Aptos" w:hAnsi="Aptos" w:eastAsia="Malgun Gothic"/>
                <w:color w:val="5B6573"/>
                <w:sz w:val="15"/>
              </w:rPr>
              <w:t xml:space="preserve">세부실행예산은 세부실행예산 메뉴에서 별도로 작성하고 결재합니다.</w:t>
            </w:r>
          </w:p>
        </w:tc>
      </w:tr>
    </w:tbl>
    <w:p/>
    <w:p>
      <w:pPr>
        <w:spacing w:before="40" w:after="50" w:line="290"/>
      </w:pPr>
      <w:r>
        <w:rPr>
          <w:b/>
          <w:rFonts w:ascii="Aptos" w:hAnsi="Aptos" w:eastAsia="Malgun Gothic"/>
          <w:color w:val="000000"/>
          <w:sz w:val="25"/>
        </w:rPr>
        <w:t xml:space="preserve">처리 순서와 주의사항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최초 승인 금액을 직접 덮어쓰지 않고 새 차수로 변경 사유와 증감액을 남깁니다.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현재 계약금액, 실행예산, 발주금액은 승인된 증감 이력의 합으로 계산됩니다.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이전 차수의 발주 기성 지급 기록은 보존됩니다.</w:t>
      </w:r>
    </w:p>
    <w:tbl>
      <w:tblPr>
        <w:tblLayout w:type="fixed"/>
      </w:tblPr>
      <w:tblGrid>
        <w:gridCol w:w="900"/>
        <w:gridCol w:w="5700"/>
        <w:gridCol w:w="3000"/>
      </w:tblGrid>
      <w:tr>
        <w:trPr>
          <w:tblHeader/>
        </w:trPr>
        <w:tc>
          <w:tcPr>
            <w:tcW w:w="9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원칙</w:t>
            </w:r>
          </w:p>
        </w:tc>
        <w:tc>
          <w:tcPr>
            <w:tcW w:w="5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설명</w:t>
            </w:r>
          </w:p>
        </w:tc>
        <w:tc>
          <w:tcPr>
            <w:tcW w:w="3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업무 효과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최초 승인 금액을 직접 덮어쓰지 않고 새 차수로 변경 사유와 증감액을 남깁니다.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5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현재 계약금액, 실행예산, 발주금액은 승인된 증감 이력의 합으로 계산됩니다.</w:t>
            </w:r>
          </w:p>
        </w:tc>
        <w:tc>
          <w:tcPr>
            <w:tcW w:w="3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이전 차수의 발주 기성 지급 기록은 보존됩니다.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10  현장 작업일지와 현장 회의록</w:t>
      </w:r>
    </w:p>
    <w:p>
      <w:pPr>
        <w:spacing w:before="80" w:after="40" w:line="290"/>
      </w:pPr>
      <w:r>
        <w:rPr>
          <w:b/>
          <w:rFonts w:ascii="Aptos" w:hAnsi="Aptos" w:eastAsia="Malgun Gothic"/>
          <w:color w:val="000000"/>
          <w:sz w:val="20"/>
        </w:rPr>
        <w:t xml:space="preserve">화면 예시  현장 기록</w:t>
      </w:r>
    </w:p>
    <w:tbl>
      <w:tblPr>
        <w:tblLayout w:type="fixed"/>
      </w:tblPr>
      <w:tblGrid>
        <w:gridCol w:w="9800"/>
      </w:tblGrid>
      <w:tr>
        <w:tc>
          <w:tcPr>
            <w:tcW w:w="98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rFonts w:ascii="Aptos" w:hAnsi="Aptos" w:eastAsia="Malgun Gothic"/>
                <w:color w:val="FFFFFF"/>
                <w:sz w:val="18"/>
              </w:rPr>
              <w:t xml:space="preserve">아이엔씨 ERP   |   공사 통합관리</w:t>
            </w:r>
          </w:p>
        </w:tc>
      </w:tr>
      <w:tr>
        <w:tc>
          <w:tcPr>
            <w:tcW w:w="9800" w:type="dxa"/>
          </w:tcPr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D9EAF7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rFonts w:ascii="Aptos" w:hAnsi="Aptos" w:eastAsia="Malgun Gothic"/>
                      <w:color w:val="1F4E79"/>
                      <w:sz w:val="15"/>
                    </w:rPr>
                    <w:t xml:space="preserve">현장 작업일지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현장 회의록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기성 및 지급 현황</w:t>
                  </w:r>
                </w:p>
              </w:tc>
            </w:tr>
          </w:tbl>
          <w:p>
            <w:pPr>
              <w:spacing w:before="60" w:after="60" w:line="290"/>
            </w:pPr>
            <w:r>
              <w:rPr>
                <w:b/>
                <w:rFonts w:ascii="Aptos" w:hAnsi="Aptos" w:eastAsia="Malgun Gothic"/>
                <w:color w:val="202124"/>
                <w:sz w:val="24"/>
              </w:rPr>
              <w:t xml:space="preserve">현장 기록</w:t>
            </w:r>
          </w:p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작업일지  |  작업일자와 날씨  |  투입 인원과 장비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회의록  |  회의 일시 장소 주제  |  결정사항과 후속조치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첨부  |  현장 사진  |  도면과 관련문서</w:t>
                  </w:r>
                </w:p>
              </w:tc>
            </w:tr>
          </w:tbl>
          <w:p>
            <w:pPr>
              <w:spacing w:before="30" w:after="40" w:line="290"/>
            </w:pPr>
            <w:r>
              <w:rPr>
                <w:rFonts w:ascii="Aptos" w:hAnsi="Aptos" w:eastAsia="Malgun Gothic"/>
                <w:color w:val="5B6573"/>
                <w:sz w:val="15"/>
              </w:rPr>
              <w:t xml:space="preserve">정산완료 프로젝트는 현장 작업일지와 회의록이 조회 전용으로 전환됩니다.</w:t>
            </w:r>
          </w:p>
        </w:tc>
      </w:tr>
    </w:tbl>
    <w:p/>
    <w:p>
      <w:pPr>
        <w:spacing w:before="40" w:after="50" w:line="290"/>
      </w:pPr>
      <w:r>
        <w:rPr>
          <w:b/>
          <w:rFonts w:ascii="Aptos" w:hAnsi="Aptos" w:eastAsia="Malgun Gothic"/>
          <w:color w:val="000000"/>
          <w:sz w:val="25"/>
        </w:rPr>
        <w:t xml:space="preserve">처리 순서와 주의사항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작업일지는 실제 작업일에 작성하고 위치와 이슈를 구체적으로 남깁니다.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회의록에는 결정사항과 후속조치를 분리해 담당자와 기한을 지정합니다.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사진, 변경도면, 협의문은 해당 기록을 저장한 뒤 첨부합니다.</w:t>
      </w:r>
    </w:p>
    <w:tbl>
      <w:tblPr>
        <w:tblLayout w:type="fixed"/>
      </w:tblPr>
      <w:tblGrid>
        <w:gridCol w:w="900"/>
        <w:gridCol w:w="5700"/>
        <w:gridCol w:w="3000"/>
      </w:tblGrid>
      <w:tr>
        <w:trPr>
          <w:tblHeader/>
        </w:trPr>
        <w:tc>
          <w:tcPr>
            <w:tcW w:w="9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기록</w:t>
            </w:r>
          </w:p>
        </w:tc>
        <w:tc>
          <w:tcPr>
            <w:tcW w:w="5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필수 내용</w:t>
            </w:r>
          </w:p>
        </w:tc>
        <w:tc>
          <w:tcPr>
            <w:tcW w:w="3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주의점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작업일지는 실제 작업일에 작성하고 위치와 이슈를 구체적으로 남깁니다.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5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회의록에는 결정사항과 후속조치를 분리해 담당자와 기한을 지정합니다.</w:t>
            </w:r>
          </w:p>
        </w:tc>
        <w:tc>
          <w:tcPr>
            <w:tcW w:w="3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사진, 변경도면, 협의문은 해당 기록을 저장한 뒤 첨부합니다.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11  준공정산과 최종결재</w:t>
      </w:r>
    </w:p>
    <w:p>
      <w:pPr>
        <w:spacing w:before="80" w:after="40" w:line="290"/>
      </w:pPr>
      <w:r>
        <w:rPr>
          <w:b/>
          <w:rFonts w:ascii="Aptos" w:hAnsi="Aptos" w:eastAsia="Malgun Gothic"/>
          <w:color w:val="000000"/>
          <w:sz w:val="20"/>
        </w:rPr>
        <w:t xml:space="preserve">화면 예시  준공정산</w:t>
      </w:r>
    </w:p>
    <w:tbl>
      <w:tblPr>
        <w:tblLayout w:type="fixed"/>
      </w:tblPr>
      <w:tblGrid>
        <w:gridCol w:w="9800"/>
      </w:tblGrid>
      <w:tr>
        <w:tc>
          <w:tcPr>
            <w:tcW w:w="98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/>
                <w:rFonts w:ascii="Aptos" w:hAnsi="Aptos" w:eastAsia="Malgun Gothic"/>
                <w:color w:val="FFFFFF"/>
                <w:sz w:val="18"/>
              </w:rPr>
              <w:t xml:space="preserve">아이엔씨 ERP   |   공사 통합관리</w:t>
            </w:r>
          </w:p>
        </w:tc>
      </w:tr>
      <w:tr>
        <w:tc>
          <w:tcPr>
            <w:tcW w:w="9800" w:type="dxa"/>
          </w:tcPr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D9EAF7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rFonts w:ascii="Aptos" w:hAnsi="Aptos" w:eastAsia="Malgun Gothic"/>
                      <w:color w:val="1F4E79"/>
                      <w:sz w:val="15"/>
                    </w:rPr>
                    <w:t xml:space="preserve">준공정산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기성 및 지급 현황</w:t>
                  </w:r>
                </w:p>
              </w:tc>
              <w:tc>
                <w:tcPr>
                  <w:tcW w:w="3133" w:type="dxa"/>
                  <w:shd w:fill="FFFFFF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ptos" w:hAnsi="Aptos" w:eastAsia="Malgun Gothic"/>
                      <w:color w:val="5B6573"/>
                      <w:sz w:val="15"/>
                    </w:rPr>
                    <w:t xml:space="preserve">통합결재함</w:t>
                  </w:r>
                </w:p>
              </w:tc>
            </w:tr>
          </w:tbl>
          <w:p>
            <w:pPr>
              <w:spacing w:before="60" w:after="60" w:line="290"/>
            </w:pPr>
            <w:r>
              <w:rPr>
                <w:b/>
                <w:rFonts w:ascii="Aptos" w:hAnsi="Aptos" w:eastAsia="Malgun Gothic"/>
                <w:color w:val="202124"/>
                <w:sz w:val="24"/>
              </w:rPr>
              <w:t xml:space="preserve">준공정산</w:t>
            </w:r>
          </w:p>
          <w:tbl>
            <w:tblPr>
              <w:tblLayout w:type="fixed"/>
            </w:tblPr>
            <w:tblGrid>
              <w:gridCol w:w="3133"/>
              <w:gridCol w:w="3133"/>
              <w:gridCol w:w="3133"/>
            </w:tblGrid>
            <w:tr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최종 계약금액  |  220,000,000 원  |  최초 금액과 승인 변경 반영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최종 발주금액  |  110,200,000 원  |  발주 및 집행 현황</w:t>
                  </w:r>
                </w:p>
              </w:tc>
              <w:tc>
                <w:tcPr>
                  <w:tcW w:w="3133" w:type="dxa"/>
                  <w:shd w:fill="F4F8FC"/>
                  <w:tcBorders>
                    <w:top w:val="single" w:sz="6" w:color="D9D9D9"/>
                    <w:left w:val="single" w:sz="6" w:color="D9D9D9"/>
                    <w:bottom w:val="single" w:sz="6" w:color="D9D9D9"/>
                    <w:right w:val="single" w:sz="6" w:color="D9D9D9"/>
                  </w:tcBorders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Aptos" w:hAnsi="Aptos" w:eastAsia="Malgun Gothic"/>
                      <w:color w:val="202124"/>
                      <w:sz w:val="15"/>
                    </w:rPr>
                    <w:t xml:space="preserve">최종 이익률  |  49.91%  |  최종 계약금액 대비</w:t>
                  </w:r>
                </w:p>
              </w:tc>
            </w:tr>
          </w:tbl>
          <w:p>
            <w:pPr>
              <w:spacing w:before="30" w:after="40" w:line="290"/>
            </w:pPr>
            <w:r>
              <w:rPr>
                <w:rFonts w:ascii="Aptos" w:hAnsi="Aptos" w:eastAsia="Malgun Gothic"/>
                <w:color w:val="5B6573"/>
                <w:sz w:val="15"/>
              </w:rPr>
              <w:t xml:space="preserve">미지급 잔액이 남아 있으면 강제 완료 확인과 미지급 처리 사유가 필요합니다.</w:t>
            </w:r>
          </w:p>
        </w:tc>
      </w:tr>
    </w:tbl>
    <w:p/>
    <w:p>
      <w:pPr>
        <w:spacing w:before="40" w:after="50" w:line="290"/>
      </w:pPr>
      <w:r>
        <w:rPr>
          <w:b/>
          <w:rFonts w:ascii="Aptos" w:hAnsi="Aptos" w:eastAsia="Malgun Gothic"/>
          <w:color w:val="000000"/>
          <w:sz w:val="25"/>
        </w:rPr>
        <w:t xml:space="preserve">처리 순서와 주의사항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계약 실행예산 발주 기성 지급 누계가 현재 승인 차수 기준인지 확인합니다.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미수금, 현장경비, 인건비, 준공 세금을 실제 집행액으로 입력합니다.</w:t>
      </w:r>
    </w:p>
    <w:p>
      <w:pPr>
        <w:ind w:left="480" w:hanging="240"/>
        <w:spacing w:after="50"/>
      </w:pPr>
      <w:r>
        <w:rPr>
          <w:b/>
          <w:rFonts w:ascii="Aptos" w:hAnsi="Aptos" w:eastAsia="Malgun Gothic"/>
          <w:color w:val="1F4E79"/>
          <w:sz w:val="21"/>
        </w:rPr>
        <w:t xml:space="preserve">•</w:t>
      </w:r>
      <w:r>
        <w:rPr>
          <w:rFonts w:ascii="Aptos" w:hAnsi="Aptos" w:eastAsia="Malgun Gothic"/>
          <w:color w:val="202124"/>
          <w:sz w:val="21"/>
        </w:rPr>
        <w:t xml:space="preserve">  정산 비고와 필요한 미지급 사유를 입력한 뒤 최종 결재를 요청합니다.</w:t>
      </w:r>
    </w:p>
    <w:tbl>
      <w:tblPr>
        <w:tblLayout w:type="fixed"/>
      </w:tblPr>
      <w:tblGrid>
        <w:gridCol w:w="900"/>
        <w:gridCol w:w="5700"/>
        <w:gridCol w:w="3000"/>
      </w:tblGrid>
      <w:tr>
        <w:trPr>
          <w:tblHeader/>
        </w:trPr>
        <w:tc>
          <w:tcPr>
            <w:tcW w:w="9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확인 항목</w:t>
            </w:r>
          </w:p>
        </w:tc>
        <w:tc>
          <w:tcPr>
            <w:tcW w:w="57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확인 내용</w:t>
            </w:r>
          </w:p>
        </w:tc>
        <w:tc>
          <w:tcPr>
            <w:tcW w:w="30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결재 전 조치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1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계약 실행예산 발주 기성 지급 누계가 현재 승인 차수 기준인지 확인합니다.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2</w:t>
            </w:r>
          </w:p>
        </w:tc>
        <w:tc>
          <w:tcPr>
            <w:tcW w:w="57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미수금, 현장경비, 인건비, 준공 세금을 실제 집행액으로 입력합니다.</w:t>
            </w:r>
          </w:p>
        </w:tc>
        <w:tc>
          <w:tcPr>
            <w:tcW w:w="30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  <w:tr>
        <w:tc>
          <w:tcPr>
            <w:tcW w:w="9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3</w:t>
            </w:r>
          </w:p>
        </w:tc>
        <w:tc>
          <w:tcPr>
            <w:tcW w:w="57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정산 비고와 필요한 미지급 사유를 입력한 뒤 최종 결재를 요청합니다.</w:t>
            </w:r>
          </w:p>
        </w:tc>
        <w:tc>
          <w:tcPr>
            <w:tcW w:w="30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프로젝트 통합현황과 결재상태를 함께 확인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before="0" w:after="100" w:line="290"/>
      </w:pPr>
      <w:r>
        <w:rPr>
          <w:b/>
          <w:rFonts w:ascii="Aptos" w:hAnsi="Aptos" w:eastAsia="Malgun Gothic"/>
          <w:color w:val="000000"/>
          <w:sz w:val="32"/>
        </w:rPr>
        <w:t xml:space="preserve">12  업무 규칙과 자주 묻는 질문</w:t>
      </w:r>
    </w:p>
    <w:tbl>
      <w:tblPr>
        <w:tblLayout w:type="fixed"/>
      </w:tblPr>
      <w:tblGrid>
        <w:gridCol w:w="2600"/>
        <w:gridCol w:w="7200"/>
      </w:tblGrid>
      <w:tr>
        <w:trPr>
          <w:tblHeader/>
        </w:trPr>
        <w:tc>
          <w:tcPr>
            <w:tcW w:w="26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원칙</w:t>
            </w:r>
          </w:p>
        </w:tc>
        <w:tc>
          <w:tcPr>
            <w:tcW w:w="72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설명</w:t>
            </w:r>
          </w:p>
        </w:tc>
      </w:tr>
      <w:tr>
        <w:tc>
          <w:tcPr>
            <w:tcW w:w="26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최초 승인 금액 보존</w:t>
            </w:r>
          </w:p>
        </w:tc>
        <w:tc>
          <w:tcPr>
            <w:tcW w:w="7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승인된 최초 계약 실행예산 발주금액은 직접 수정하지 않습니다. 변경은 별도 차수 또는 변경 이력으로 남깁니다.</w:t>
            </w:r>
          </w:p>
        </w:tc>
      </w:tr>
      <w:tr>
        <w:tc>
          <w:tcPr>
            <w:tcW w:w="26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결재와 실제 지급 분리</w:t>
            </w:r>
          </w:p>
        </w:tc>
        <w:tc>
          <w:tcPr>
            <w:tcW w:w="72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기성 승인과 실제 송금은 다른 단계입니다. 승인된 기성 중 실제 지급이 남으면 승인 후 미지급으로 관리합니다.</w:t>
            </w:r>
          </w:p>
        </w:tc>
      </w:tr>
      <w:tr>
        <w:tc>
          <w:tcPr>
            <w:tcW w:w="26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발주 가능 항목 제한</w:t>
            </w:r>
          </w:p>
        </w:tc>
        <w:tc>
          <w:tcPr>
            <w:tcW w:w="7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업체 비교견적과 발주품의는 승인된 실행예산 항목만 진행할 수 있습니다.</w:t>
            </w:r>
          </w:p>
        </w:tc>
      </w:tr>
      <w:tr>
        <w:tc>
          <w:tcPr>
            <w:tcW w:w="26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현재 차수 기준 집계</w:t>
            </w:r>
          </w:p>
        </w:tc>
        <w:tc>
          <w:tcPr>
            <w:tcW w:w="72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이전 차수 기록은 보존하되 현재 프로젝트 통합현황은 현재 승인 차수 기준으로 표시합니다.</w:t>
            </w:r>
          </w:p>
        </w:tc>
      </w:tr>
    </w:tbl>
    <w:p>
      <w:pPr>
        <w:spacing w:after="70"/>
      </w:pPr>
    </w:p>
    <w:p>
      <w:pPr>
        <w:spacing w:before="40" w:after="60" w:line="290"/>
      </w:pPr>
      <w:r>
        <w:rPr>
          <w:b/>
          <w:rFonts w:ascii="Aptos" w:hAnsi="Aptos" w:eastAsia="Malgun Gothic"/>
          <w:color w:val="000000"/>
          <w:sz w:val="25"/>
        </w:rPr>
        <w:t xml:space="preserve">자주 묻는 질문</w:t>
      </w:r>
    </w:p>
    <w:tbl>
      <w:tblPr>
        <w:tblLayout w:type="fixed"/>
      </w:tblPr>
      <w:tblGrid>
        <w:gridCol w:w="4200"/>
        <w:gridCol w:w="5500"/>
      </w:tblGrid>
      <w:tr>
        <w:trPr>
          <w:tblHeader/>
        </w:trPr>
        <w:tc>
          <w:tcPr>
            <w:tcW w:w="42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질문</w:t>
            </w:r>
          </w:p>
        </w:tc>
        <w:tc>
          <w:tcPr>
            <w:tcW w:w="5500" w:type="dxa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rFonts w:ascii="Aptos" w:hAnsi="Aptos" w:eastAsia="Malgun Gothic"/>
                <w:color w:val="FFFFFF"/>
                <w:sz w:val="17"/>
              </w:rPr>
              <w:t xml:space="preserve">답변</w:t>
            </w:r>
          </w:p>
        </w:tc>
      </w:tr>
      <w:tr>
        <w:tc>
          <w:tcPr>
            <w:tcW w:w="4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저장했는데 업체 비교견적에서 항목이 보이지 않습니다.</w:t>
            </w:r>
          </w:p>
        </w:tc>
        <w:tc>
          <w:tcPr>
            <w:tcW w:w="55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세부실행예산을 결재요청하고 승인받았는지 확인합니다. 승인된 항목만 선택할 수 있습니다.</w:t>
            </w:r>
          </w:p>
        </w:tc>
      </w:tr>
      <w:tr>
        <w:tc>
          <w:tcPr>
            <w:tcW w:w="42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발주금액과 기성금액이 왜 다릅니까.</w:t>
            </w:r>
          </w:p>
        </w:tc>
        <w:tc>
          <w:tcPr>
            <w:tcW w:w="55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발주는 약정 금액이고 기성은 공정에 따라 승인된 청구 누계입니다. 지급은 실제 송금 누계이므로 세 값은 서로 다를 수 있습니다.</w:t>
            </w:r>
          </w:p>
        </w:tc>
      </w:tr>
      <w:tr>
        <w:tc>
          <w:tcPr>
            <w:tcW w:w="42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계약금액을 바꿔야 합니다.</w:t>
            </w:r>
          </w:p>
        </w:tc>
        <w:tc>
          <w:tcPr>
            <w:tcW w:w="5500" w:type="dxa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기존 계약을 직접 수정하지 말고 계약 변경안과 변경 차수를 작성해 결재를 받습니다.</w:t>
            </w:r>
          </w:p>
        </w:tc>
      </w:tr>
      <w:tr>
        <w:tc>
          <w:tcPr>
            <w:tcW w:w="42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정산 결재요청 버튼이 비활성화되어 있습니다.</w:t>
            </w:r>
          </w:p>
        </w:tc>
        <w:tc>
          <w:tcPr>
            <w:tcW w:w="5500" w:type="dxa"/>
            <w:shd w:fill="F4F8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 w:eastAsia="Malgun Gothic"/>
                <w:color w:val="202124"/>
                <w:sz w:val="17"/>
              </w:rPr>
              <w:t xml:space="preserve">미지급 잔액, 필수 사유, 강제 완료 확인, 정산비 입력값을 확인한 뒤 다시 시도합니다.</w:t>
            </w:r>
          </w:p>
        </w:tc>
      </w:tr>
    </w:tbl>
    <w:p>
      <w:pPr>
        <w:spacing w:after="70"/>
      </w:pPr>
    </w:p>
    <w:sectPr>
      <w:pgSz w:w="12240" w:h="15840"/>
      <w:pgMar w:top="936" w:right="1008" w:bottom="840" w:left="10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algun Gothic"/>
        <w:sz w:val="21"/>
      </w:rPr>
    </w:rPrDefault>
  </w:docDefaults>
</w:styles>
</file>

<file path=word/_rels/document.xml.rels><?xml version="1.0" encoding="UTF-8" standalone="yes"?><Relationships xmlns="http://schemas.openxmlformats.org/package/2006/relationships"/>
</file>