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3A5F"/>
        </w:rPr>
        <w:t>RTIP — Build Overview for Written Report</w:t>
      </w:r>
    </w:p>
    <w:p>
      <w:r>
        <w:rPr>
          <w:rFonts w:ascii="Calibri" w:hAnsi="Calibri"/>
        </w:rPr>
        <w:t>This document summarizes how RTIP was built, where the data comes from, the analysis methodology, and why we chose our tech stack. Use this as reference material for the team written report.</w:t>
      </w:r>
    </w:p>
    <w:p>
      <w:pPr>
        <w:pStyle w:val="Heading2"/>
      </w:pPr>
      <w:r>
        <w:rPr>
          <w:rFonts w:ascii="Calibri" w:hAnsi="Calibri"/>
          <w:color w:val="1F3A5F"/>
        </w:rPr>
        <w:t>1. How We Built It</w:t>
      </w:r>
    </w:p>
    <w:p>
      <w:r>
        <w:rPr>
          <w:rFonts w:ascii="Calibri" w:hAnsi="Calibri"/>
        </w:rPr>
        <w:t>RTIP was developed over a four-week sprint using an agentic AI development workflow. The team defined the problem, architecture, and product requirements; Claude Code (Anthropic's AI coding agent in VS Code) generated approximately 95% of the codebase under our direction. All strategic decisions — problem framing, tool selection, pitch narrative, and UX design choices — were made by the team.</w:t>
      </w:r>
    </w:p>
    <w:p>
      <w:pPr>
        <w:pStyle w:val="Heading3"/>
      </w:pPr>
      <w:r>
        <w:rPr>
          <w:rFonts w:ascii="Calibri" w:hAnsi="Calibri"/>
          <w:color w:val="1F3A5F"/>
        </w:rPr>
        <w:t>Development timeline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Calibri" w:hAnsi="Calibri"/>
                <w:b/>
                <w:sz w:val="20"/>
              </w:rPr>
              <w:t>Phase</w:t>
            </w:r>
          </w:p>
        </w:tc>
        <w:tc>
          <w:tcPr>
            <w:tcW w:type="dxa" w:w="3120"/>
          </w:tcPr>
          <w:p>
            <w:r/>
            <w:r>
              <w:rPr>
                <w:rFonts w:ascii="Calibri" w:hAnsi="Calibri"/>
                <w:b/>
                <w:sz w:val="20"/>
              </w:rPr>
              <w:t>Duration</w:t>
            </w:r>
          </w:p>
        </w:tc>
        <w:tc>
          <w:tcPr>
            <w:tcW w:type="dxa" w:w="3120"/>
          </w:tcPr>
          <w:p>
            <w:r/>
            <w:r>
              <w:rPr>
                <w:rFonts w:ascii="Calibri" w:hAnsi="Calibri"/>
                <w:b/>
                <w:sz w:val="20"/>
              </w:rPr>
              <w:t>What was built</w:t>
            </w:r>
          </w:p>
        </w:tc>
      </w:tr>
      <w:tr>
        <w:tc>
          <w:tcPr>
            <w:tcW w:type="dxa" w:w="3120"/>
          </w:tcPr>
          <w:p>
            <w:r/>
            <w:r>
              <w:rPr>
                <w:rFonts w:ascii="Calibri" w:hAnsi="Calibri"/>
                <w:sz w:val="20"/>
              </w:rPr>
              <w:t>Phase 0: Scaffold &amp; Verify</w:t>
            </w:r>
          </w:p>
        </w:tc>
        <w:tc>
          <w:tcPr>
            <w:tcW w:type="dxa" w:w="3120"/>
          </w:tcPr>
          <w:p>
            <w:r/>
            <w:r>
              <w:rPr>
                <w:rFonts w:ascii="Calibri" w:hAnsi="Calibri"/>
                <w:sz w:val="20"/>
              </w:rPr>
              <w:t>Week 1</w:t>
            </w:r>
          </w:p>
        </w:tc>
        <w:tc>
          <w:tcPr>
            <w:tcW w:type="dxa" w:w="3120"/>
          </w:tcPr>
          <w:p>
            <w:r/>
            <w:r>
              <w:rPr>
                <w:rFonts w:ascii="Calibri" w:hAnsi="Calibri"/>
                <w:sz w:val="20"/>
              </w:rPr>
              <w:t>Project setup, API Ninjas coverage verification (30/30 top REITs confirmed), SQLite cache layer, TypeScript type definitions</w:t>
            </w:r>
          </w:p>
        </w:tc>
      </w:tr>
      <w:tr>
        <w:tc>
          <w:tcPr>
            <w:tcW w:type="dxa" w:w="3120"/>
          </w:tcPr>
          <w:p>
            <w:r/>
            <w:r>
              <w:rPr>
                <w:rFonts w:ascii="Calibri" w:hAnsi="Calibri"/>
                <w:sz w:val="20"/>
              </w:rPr>
              <w:t>Phase 1: Data &amp; UI Foundation</w:t>
            </w:r>
          </w:p>
        </w:tc>
        <w:tc>
          <w:tcPr>
            <w:tcW w:type="dxa" w:w="3120"/>
          </w:tcPr>
          <w:p>
            <w:r/>
            <w:r>
              <w:rPr>
                <w:rFonts w:ascii="Calibri" w:hAnsi="Calibri"/>
                <w:sz w:val="20"/>
              </w:rPr>
              <w:t>Week 1-2</w:t>
            </w:r>
          </w:p>
        </w:tc>
        <w:tc>
          <w:tcPr>
            <w:tcW w:type="dxa" w:w="3120"/>
          </w:tcPr>
          <w:p>
            <w:r/>
            <w:r>
              <w:rPr>
                <w:rFonts w:ascii="Calibri" w:hAnsi="Calibri"/>
                <w:sz w:val="20"/>
              </w:rPr>
              <w:t>FTSE Nareit PDF parsed to JSON (195 REITs), REIT selector with sector filter, transcript viewer with sentence-level IDs, quarter availability picker</w:t>
            </w:r>
          </w:p>
        </w:tc>
      </w:tr>
      <w:tr>
        <w:tc>
          <w:tcPr>
            <w:tcW w:type="dxa" w:w="3120"/>
          </w:tcPr>
          <w:p>
            <w:r/>
            <w:r>
              <w:rPr>
                <w:rFonts w:ascii="Calibri" w:hAnsi="Calibri"/>
                <w:sz w:val="20"/>
              </w:rPr>
              <w:t>Phase 2: Claude AI Analysis</w:t>
            </w:r>
          </w:p>
        </w:tc>
        <w:tc>
          <w:tcPr>
            <w:tcW w:type="dxa" w:w="3120"/>
          </w:tcPr>
          <w:p>
            <w:r/>
            <w:r>
              <w:rPr>
                <w:rFonts w:ascii="Calibri" w:hAnsi="Calibri"/>
                <w:sz w:val="20"/>
              </w:rPr>
              <w:t>Week 2</w:t>
            </w:r>
          </w:p>
        </w:tc>
        <w:tc>
          <w:tcPr>
            <w:tcW w:type="dxa" w:w="3120"/>
          </w:tcPr>
          <w:p>
            <w:r/>
            <w:r>
              <w:rPr>
                <w:rFonts w:ascii="Calibri" w:hAnsi="Calibri"/>
                <w:sz w:val="20"/>
              </w:rPr>
              <w:t>6 prompt templates, Anthropic client with SHA-256 cache, InsightsPanel (Summary / Sentiment &amp; Signals / Ask tabs), participant extraction</w:t>
            </w:r>
          </w:p>
        </w:tc>
      </w:tr>
      <w:tr>
        <w:tc>
          <w:tcPr>
            <w:tcW w:type="dxa" w:w="3120"/>
          </w:tcPr>
          <w:p>
            <w:r/>
            <w:r>
              <w:rPr>
                <w:rFonts w:ascii="Calibri" w:hAnsi="Calibri"/>
                <w:sz w:val="20"/>
              </w:rPr>
              <w:t>Phase 3: Financials &amp; Market Data</w:t>
            </w:r>
          </w:p>
        </w:tc>
        <w:tc>
          <w:tcPr>
            <w:tcW w:type="dxa" w:w="3120"/>
          </w:tcPr>
          <w:p>
            <w:r/>
            <w:r>
              <w:rPr>
                <w:rFonts w:ascii="Calibri" w:hAnsi="Calibri"/>
                <w:sz w:val="20"/>
              </w:rPr>
              <w:t>Week 3</w:t>
            </w:r>
          </w:p>
        </w:tc>
        <w:tc>
          <w:tcPr>
            <w:tcW w:type="dxa" w:w="3120"/>
          </w:tcPr>
          <w:p>
            <w:r/>
            <w:r>
              <w:rPr>
                <w:rFonts w:ascii="Calibri" w:hAnsi="Calibri"/>
                <w:sz w:val="20"/>
              </w:rPr>
              <w:t>SEC 10-Q/10-K financials, earnings calendar, post-earnings price reaction (stock vs FTSE Nareit vs VNQ), cold-fetch progress narration</w:t>
            </w:r>
          </w:p>
        </w:tc>
      </w:tr>
      <w:tr>
        <w:tc>
          <w:tcPr>
            <w:tcW w:type="dxa" w:w="3120"/>
          </w:tcPr>
          <w:p>
            <w:r/>
            <w:r>
              <w:rPr>
                <w:rFonts w:ascii="Calibri" w:hAnsi="Calibri"/>
                <w:sz w:val="20"/>
              </w:rPr>
              <w:t>Phase 4: Export &amp; Polish</w:t>
            </w:r>
          </w:p>
        </w:tc>
        <w:tc>
          <w:tcPr>
            <w:tcW w:type="dxa" w:w="3120"/>
          </w:tcPr>
          <w:p>
            <w:r/>
            <w:r>
              <w:rPr>
                <w:rFonts w:ascii="Calibri" w:hAnsi="Calibri"/>
                <w:sz w:val="20"/>
              </w:rPr>
              <w:t>Week 3-4</w:t>
            </w:r>
          </w:p>
        </w:tc>
        <w:tc>
          <w:tcPr>
            <w:tcW w:type="dxa" w:w="3120"/>
          </w:tcPr>
          <w:p>
            <w:r/>
            <w:r>
              <w:rPr>
                <w:rFonts w:ascii="Calibri" w:hAnsi="Calibri"/>
                <w:sz w:val="20"/>
              </w:rPr>
              <w:t>PDF export (Puppeteer), Compare Mode, unified NavBar, UI polish, pre-warm script, Railway deployment</w:t>
            </w:r>
          </w:p>
        </w:tc>
      </w:tr>
    </w:tbl>
    <w:p/>
    <w:p>
      <w:pPr>
        <w:pStyle w:val="Heading2"/>
      </w:pPr>
      <w:r>
        <w:rPr>
          <w:rFonts w:ascii="Calibri" w:hAnsi="Calibri"/>
          <w:color w:val="1F3A5F"/>
        </w:rPr>
        <w:t>2. Data Sources</w:t>
      </w:r>
    </w:p>
    <w:p>
      <w:r>
        <w:rPr>
          <w:rFonts w:ascii="Calibri" w:hAnsi="Calibri"/>
        </w:rPr>
        <w:t>Every data point in RTIP comes from a verified external source. Zero mock data — this is a non-negotiable design principle. Every rendered value carries a source label so the user always knows where information came from.</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Calibri" w:hAnsi="Calibri"/>
                <w:b/>
                <w:sz w:val="20"/>
              </w:rPr>
              <w:t>Data Source</w:t>
            </w:r>
          </w:p>
        </w:tc>
        <w:tc>
          <w:tcPr>
            <w:tcW w:type="dxa" w:w="3120"/>
          </w:tcPr>
          <w:p>
            <w:r/>
            <w:r>
              <w:rPr>
                <w:rFonts w:ascii="Calibri" w:hAnsi="Calibri"/>
                <w:b/>
                <w:sz w:val="20"/>
              </w:rPr>
              <w:t>What It Provides</w:t>
            </w:r>
          </w:p>
        </w:tc>
        <w:tc>
          <w:tcPr>
            <w:tcW w:type="dxa" w:w="3120"/>
          </w:tcPr>
          <w:p>
            <w:r/>
            <w:r>
              <w:rPr>
                <w:rFonts w:ascii="Calibri" w:hAnsi="Calibri"/>
                <w:b/>
                <w:sz w:val="20"/>
              </w:rPr>
              <w:t>Label in App</w:t>
            </w:r>
          </w:p>
        </w:tc>
      </w:tr>
      <w:tr>
        <w:tc>
          <w:tcPr>
            <w:tcW w:type="dxa" w:w="3120"/>
          </w:tcPr>
          <w:p>
            <w:r/>
            <w:r>
              <w:rPr>
                <w:rFonts w:ascii="Calibri" w:hAnsi="Calibri"/>
                <w:sz w:val="20"/>
              </w:rPr>
              <w:t>API Ninjas (Developer tier, paid)</w:t>
            </w:r>
          </w:p>
        </w:tc>
        <w:tc>
          <w:tcPr>
            <w:tcW w:type="dxa" w:w="3120"/>
          </w:tcPr>
          <w:p>
            <w:r/>
            <w:r>
              <w:rPr>
                <w:rFonts w:ascii="Calibri" w:hAnsi="Calibri"/>
                <w:sz w:val="20"/>
              </w:rPr>
              <w:t>Full earnings call transcripts (50-60K chars each), earnings_timing (before/during/after market), SEC 10-Q/10-K financials (income statement, balance sheet, cash flow), earnings calendar (past and upcoming dates), quarter availability per ticker</w:t>
            </w:r>
          </w:p>
        </w:tc>
        <w:tc>
          <w:tcPr>
            <w:tcW w:type="dxa" w:w="3120"/>
          </w:tcPr>
          <w:p>
            <w:r/>
            <w:r>
              <w:rPr>
                <w:rFonts w:ascii="Calibri" w:hAnsi="Calibri"/>
                <w:sz w:val="20"/>
              </w:rPr>
              <w:t>API Ninjas (transcript) or API Ninjas (earnings)</w:t>
            </w:r>
          </w:p>
        </w:tc>
      </w:tr>
      <w:tr>
        <w:tc>
          <w:tcPr>
            <w:tcW w:type="dxa" w:w="3120"/>
          </w:tcPr>
          <w:p>
            <w:r/>
            <w:r>
              <w:rPr>
                <w:rFonts w:ascii="Calibri" w:hAnsi="Calibri"/>
                <w:sz w:val="20"/>
              </w:rPr>
              <w:t>Claude API (claude-sonnet-4-6)</w:t>
            </w:r>
          </w:p>
        </w:tc>
        <w:tc>
          <w:tcPr>
            <w:tcW w:type="dxa" w:w="3120"/>
          </w:tcPr>
          <w:p>
            <w:r/>
            <w:r>
              <w:rPr>
                <w:rFonts w:ascii="Calibri" w:hAnsi="Calibri"/>
                <w:sz w:val="20"/>
              </w:rPr>
              <w:t>Executive summary, forward guidance extraction (with direction: raised/lowered/maintained/initiated), risk factors (with severity), participant classification (executive/analyst/operator), multi-layer sentiment (-1 to +1), 15-30 directional signals per call, REIT-specific KPI extraction (FFO, AFFO, Same-Store NOI, Occupancy, Leasing Spread, Cap Rate, Development Pipeline)</w:t>
            </w:r>
          </w:p>
        </w:tc>
        <w:tc>
          <w:tcPr>
            <w:tcW w:type="dxa" w:w="3120"/>
          </w:tcPr>
          <w:p>
            <w:r/>
            <w:r>
              <w:rPr>
                <w:rFonts w:ascii="Calibri" w:hAnsi="Calibri"/>
                <w:sz w:val="20"/>
              </w:rPr>
              <w:t>Claude analysis</w:t>
            </w:r>
          </w:p>
        </w:tc>
      </w:tr>
      <w:tr>
        <w:tc>
          <w:tcPr>
            <w:tcW w:type="dxa" w:w="3120"/>
          </w:tcPr>
          <w:p>
            <w:r/>
            <w:r>
              <w:rPr>
                <w:rFonts w:ascii="Calibri" w:hAnsi="Calibri"/>
                <w:sz w:val="20"/>
              </w:rPr>
              <w:t>Yahoo Finance (yahoo-finance2)</w:t>
            </w:r>
          </w:p>
        </w:tc>
        <w:tc>
          <w:tcPr>
            <w:tcW w:type="dxa" w:w="3120"/>
          </w:tcPr>
          <w:p>
            <w:r/>
            <w:r>
              <w:rPr>
                <w:rFonts w:ascii="Calibri" w:hAnsi="Calibri"/>
                <w:sz w:val="20"/>
              </w:rPr>
              <w:t>Historical daily OHLC price data for individual REITs, USRT (FTSE Nareit Equity REITs ETF proxy), and VNQ (Vanguard Real Estate ETF)</w:t>
            </w:r>
          </w:p>
        </w:tc>
        <w:tc>
          <w:tcPr>
            <w:tcW w:type="dxa" w:w="3120"/>
          </w:tcPr>
          <w:p>
            <w:r/>
            <w:r>
              <w:rPr>
                <w:rFonts w:ascii="Calibri" w:hAnsi="Calibri"/>
                <w:sz w:val="20"/>
              </w:rPr>
              <w:t>Yahoo Finance</w:t>
            </w:r>
          </w:p>
        </w:tc>
      </w:tr>
      <w:tr>
        <w:tc>
          <w:tcPr>
            <w:tcW w:type="dxa" w:w="3120"/>
          </w:tcPr>
          <w:p>
            <w:r/>
            <w:r>
              <w:rPr>
                <w:rFonts w:ascii="Calibri" w:hAnsi="Calibri"/>
                <w:sz w:val="20"/>
              </w:rPr>
              <w:t>FTSE Nareit (Dec 31, 2025)</w:t>
            </w:r>
          </w:p>
        </w:tc>
        <w:tc>
          <w:tcPr>
            <w:tcW w:type="dxa" w:w="3120"/>
          </w:tcPr>
          <w:p>
            <w:r/>
            <w:r>
              <w:rPr>
                <w:rFonts w:ascii="Calibri" w:hAnsi="Calibri"/>
                <w:sz w:val="20"/>
              </w:rPr>
              <w:t>Complete constituent list: 195 REITs (155 Equity + 40 Mortgage), ticker, company name, sector, subsector, market cap</w:t>
            </w:r>
          </w:p>
        </w:tc>
        <w:tc>
          <w:tcPr>
            <w:tcW w:type="dxa" w:w="3120"/>
          </w:tcPr>
          <w:p>
            <w:r/>
            <w:r>
              <w:rPr>
                <w:rFonts w:ascii="Calibri" w:hAnsi="Calibri"/>
                <w:sz w:val="20"/>
              </w:rPr>
              <w:t>Parsed from official PDF</w:t>
            </w:r>
          </w:p>
        </w:tc>
      </w:tr>
    </w:tbl>
    <w:p/>
    <w:p>
      <w:pPr>
        <w:pStyle w:val="Heading3"/>
      </w:pPr>
      <w:r>
        <w:rPr>
          <w:rFonts w:ascii="Calibri" w:hAnsi="Calibri"/>
          <w:color w:val="1F3A5F"/>
        </w:rPr>
        <w:t>API Ninjas Developer tier — important nuance</w:t>
      </w:r>
    </w:p>
    <w:p>
      <w:r>
        <w:rPr>
          <w:rFonts w:ascii="Calibri" w:hAnsi="Calibri"/>
        </w:rPr>
        <w:t xml:space="preserve">API Ninjas offers premium analysis fields (pre-built summary, guidance, risk_factors, participants, overall_sentiment) on their Business/Professional tiers. On our Developer tier, these fields are paywalled and return a placeholder string. We </w:t>
      </w:r>
      <w:r>
        <w:rPr>
          <w:rFonts w:ascii="Calibri" w:hAnsi="Calibri"/>
          <w:b/>
        </w:rPr>
        <w:t>deliberately chose NOT to upgrade</w:t>
      </w:r>
      <w:r>
        <w:rPr>
          <w:rFonts w:ascii="Calibri" w:hAnsi="Calibri"/>
        </w:rPr>
        <w:t>. Instead, Claude performs all analysis from the raw transcript text. This became a pitch strength: "</w:t>
      </w:r>
      <w:r>
        <w:rPr>
          <w:rFonts w:ascii="Calibri" w:hAnsi="Calibri"/>
          <w:b/>
        </w:rPr>
        <w:t>generic summarization is commoditized; REIT-specific domain analysis is where the value lives.</w:t>
      </w:r>
      <w:r>
        <w:rPr>
          <w:rFonts w:ascii="Calibri" w:hAnsi="Calibri"/>
        </w:rPr>
        <w:t>"</w:t>
      </w:r>
    </w:p>
    <w:p>
      <w:pPr>
        <w:pStyle w:val="Heading2"/>
      </w:pPr>
      <w:r>
        <w:rPr>
          <w:rFonts w:ascii="Calibri" w:hAnsi="Calibri"/>
          <w:color w:val="1F3A5F"/>
        </w:rPr>
        <w:t>3. Methodology</w:t>
      </w:r>
    </w:p>
    <w:p>
      <w:pPr>
        <w:pStyle w:val="Heading3"/>
      </w:pPr>
      <w:r>
        <w:rPr>
          <w:rFonts w:ascii="Calibri" w:hAnsi="Calibri"/>
          <w:color w:val="1F3A5F"/>
        </w:rPr>
        <w:t>Architecture: Single-layer Claude Analysis</w:t>
      </w:r>
    </w:p>
    <w:p>
      <w:r>
        <w:rPr>
          <w:rFonts w:ascii="Calibri" w:hAnsi="Calibri"/>
        </w:rPr>
        <w:t>RTIP uses a clean separation between data providers and the AI analysis layer:</w:t>
      </w:r>
    </w:p>
    <w:p>
      <w:pPr>
        <w:pStyle w:val="ListBullet"/>
      </w:pPr>
      <w:r>
        <w:rPr>
          <w:rFonts w:ascii="Calibri" w:hAnsi="Calibri"/>
          <w:sz w:val="22"/>
        </w:rPr>
        <w:t xml:space="preserve">API Ninjas provides the </w:t>
      </w:r>
      <w:r>
        <w:rPr>
          <w:rFonts w:ascii="Calibri" w:hAnsi="Calibri"/>
          <w:b/>
          <w:sz w:val="22"/>
        </w:rPr>
        <w:t>raw material</w:t>
      </w:r>
      <w:r>
        <w:rPr>
          <w:rFonts w:ascii="Calibri" w:hAnsi="Calibri"/>
          <w:sz w:val="22"/>
        </w:rPr>
        <w:t>: transcripts, financials, calendar data</w:t>
      </w:r>
    </w:p>
    <w:p>
      <w:pPr>
        <w:pStyle w:val="ListBullet"/>
      </w:pPr>
      <w:r>
        <w:rPr>
          <w:rFonts w:ascii="Calibri" w:hAnsi="Calibri"/>
          <w:sz w:val="22"/>
        </w:rPr>
        <w:t xml:space="preserve">Claude performs </w:t>
      </w:r>
      <w:r>
        <w:rPr>
          <w:rFonts w:ascii="Calibri" w:hAnsi="Calibri"/>
          <w:b/>
          <w:sz w:val="22"/>
        </w:rPr>
        <w:t>ALL intelligence work</w:t>
      </w:r>
      <w:r>
        <w:rPr>
          <w:rFonts w:ascii="Calibri" w:hAnsi="Calibri"/>
          <w:sz w:val="22"/>
        </w:rPr>
        <w:t>: summary, sentiment, signals, KPIs, participant parsing</w:t>
      </w:r>
    </w:p>
    <w:p>
      <w:pPr>
        <w:pStyle w:val="ListBullet"/>
      </w:pPr>
      <w:r>
        <w:rPr>
          <w:rFonts w:ascii="Calibri" w:hAnsi="Calibri"/>
          <w:sz w:val="22"/>
        </w:rPr>
        <w:t xml:space="preserve">Yahoo Finance provides </w:t>
      </w:r>
      <w:r>
        <w:rPr>
          <w:rFonts w:ascii="Calibri" w:hAnsi="Calibri"/>
          <w:b/>
          <w:sz w:val="22"/>
        </w:rPr>
        <w:t>price data</w:t>
      </w:r>
      <w:r>
        <w:rPr>
          <w:rFonts w:ascii="Calibri" w:hAnsi="Calibri"/>
          <w:sz w:val="22"/>
        </w:rPr>
        <w:t xml:space="preserve"> for post-earnings reaction computation</w:t>
      </w:r>
    </w:p>
    <w:p>
      <w:pPr>
        <w:pStyle w:val="ListBullet"/>
      </w:pPr>
      <w:r>
        <w:rPr>
          <w:rFonts w:ascii="Calibri" w:hAnsi="Calibri"/>
          <w:sz w:val="22"/>
        </w:rPr>
        <w:t xml:space="preserve">SQLite </w:t>
      </w:r>
      <w:r>
        <w:rPr>
          <w:rFonts w:ascii="Calibri" w:hAnsi="Calibri"/>
          <w:b/>
          <w:sz w:val="22"/>
        </w:rPr>
        <w:t>caches everything</w:t>
      </w:r>
      <w:r>
        <w:rPr>
          <w:rFonts w:ascii="Calibri" w:hAnsi="Calibri"/>
          <w:sz w:val="22"/>
        </w:rPr>
        <w:t>: transcripts indefinitely, Claude outputs by SHA-256 prompt hash, API responses by endpoint+params</w:t>
      </w:r>
    </w:p>
    <w:p>
      <w:pPr>
        <w:pStyle w:val="Heading3"/>
      </w:pPr>
      <w:r>
        <w:rPr>
          <w:rFonts w:ascii="Calibri" w:hAnsi="Calibri"/>
          <w:color w:val="1F3A5F"/>
        </w:rPr>
        <w:t>Claude analysis pipeline (per REIT per quarter)</w:t>
      </w:r>
    </w:p>
    <w:p>
      <w:r>
        <w:rPr>
          <w:rFonts w:ascii="Calibri" w:hAnsi="Calibri"/>
        </w:rPr>
        <w:t>When a user selects a REIT and quarter, five Claude calls execute in parallel: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Calibri" w:hAnsi="Calibri"/>
                <w:b/>
                <w:sz w:val="20"/>
              </w:rPr>
              <w:t>Analysis</w:t>
            </w:r>
          </w:p>
        </w:tc>
        <w:tc>
          <w:tcPr>
            <w:tcW w:type="dxa" w:w="3120"/>
          </w:tcPr>
          <w:p>
            <w:r/>
            <w:r>
              <w:rPr>
                <w:rFonts w:ascii="Calibri" w:hAnsi="Calibri"/>
                <w:b/>
                <w:sz w:val="20"/>
              </w:rPr>
              <w:t>What Claude Does</w:t>
            </w:r>
          </w:p>
        </w:tc>
        <w:tc>
          <w:tcPr>
            <w:tcW w:type="dxa" w:w="3120"/>
          </w:tcPr>
          <w:p>
            <w:r/>
            <w:r>
              <w:rPr>
                <w:rFonts w:ascii="Calibri" w:hAnsi="Calibri"/>
                <w:b/>
                <w:sz w:val="20"/>
              </w:rPr>
              <w:t>Output</w:t>
            </w:r>
          </w:p>
        </w:tc>
      </w:tr>
      <w:tr>
        <w:tc>
          <w:tcPr>
            <w:tcW w:type="dxa" w:w="3120"/>
          </w:tcPr>
          <w:p>
            <w:r/>
            <w:r>
              <w:rPr>
                <w:rFonts w:ascii="Calibri" w:hAnsi="Calibri"/>
                <w:sz w:val="20"/>
              </w:rPr>
              <w:t>1. Baseline</w:t>
            </w:r>
          </w:p>
        </w:tc>
        <w:tc>
          <w:tcPr>
            <w:tcW w:type="dxa" w:w="3120"/>
          </w:tcPr>
          <w:p>
            <w:r/>
            <w:r>
              <w:rPr>
                <w:rFonts w:ascii="Calibri" w:hAnsi="Calibri"/>
                <w:sz w:val="20"/>
              </w:rPr>
              <w:t>Generates executive summary paragraph, extracts forward guidance with direction, identifies risk factors with severity, classifies all call participants (executive/analyst/operator)</w:t>
            </w:r>
          </w:p>
        </w:tc>
        <w:tc>
          <w:tcPr>
            <w:tcW w:type="dxa" w:w="3120"/>
          </w:tcPr>
          <w:p>
            <w:r/>
            <w:r>
              <w:rPr>
                <w:rFonts w:ascii="Calibri" w:hAnsi="Calibri"/>
                <w:sz w:val="20"/>
              </w:rPr>
              <w:t>ClaudeBaselineAnalysis</w:t>
            </w:r>
          </w:p>
        </w:tc>
      </w:tr>
      <w:tr>
        <w:tc>
          <w:tcPr>
            <w:tcW w:type="dxa" w:w="3120"/>
          </w:tcPr>
          <w:p>
            <w:r/>
            <w:r>
              <w:rPr>
                <w:rFonts w:ascii="Calibri" w:hAnsi="Calibri"/>
                <w:sz w:val="20"/>
              </w:rPr>
              <w:t>2. Summary</w:t>
            </w:r>
          </w:p>
        </w:tc>
        <w:tc>
          <w:tcPr>
            <w:tcW w:type="dxa" w:w="3120"/>
          </w:tcPr>
          <w:p>
            <w:r/>
            <w:r>
              <w:rPr>
                <w:rFonts w:ascii="Calibri" w:hAnsi="Calibri"/>
                <w:sz w:val="20"/>
              </w:rPr>
              <w:t>Produces 5 REIT-focused bullet points, identifies 3-5 key themes with rationale, selects notable decision-relevant quotes with sentence IDs</w:t>
            </w:r>
          </w:p>
        </w:tc>
        <w:tc>
          <w:tcPr>
            <w:tcW w:type="dxa" w:w="3120"/>
          </w:tcPr>
          <w:p>
            <w:r/>
            <w:r>
              <w:rPr>
                <w:rFonts w:ascii="Calibri" w:hAnsi="Calibri"/>
                <w:sz w:val="20"/>
              </w:rPr>
              <w:t>ClaudeSummary</w:t>
            </w:r>
          </w:p>
        </w:tc>
      </w:tr>
      <w:tr>
        <w:tc>
          <w:tcPr>
            <w:tcW w:type="dxa" w:w="3120"/>
          </w:tcPr>
          <w:p>
            <w:r/>
            <w:r>
              <w:rPr>
                <w:rFonts w:ascii="Calibri" w:hAnsi="Calibri"/>
                <w:sz w:val="20"/>
              </w:rPr>
              <w:t>3. Sentiment</w:t>
            </w:r>
          </w:p>
        </w:tc>
        <w:tc>
          <w:tcPr>
            <w:tcW w:type="dxa" w:w="3120"/>
          </w:tcPr>
          <w:p>
            <w:r/>
            <w:r>
              <w:rPr>
                <w:rFonts w:ascii="Calibri" w:hAnsi="Calibri"/>
                <w:sz w:val="20"/>
              </w:rPr>
              <w:t>Scores overall sentiment (-1 to +1), compares Prepared Remarks vs Q&amp;A sentiment, breaks down by topic (demand, financing, rent growth, development, guidance)</w:t>
            </w:r>
          </w:p>
        </w:tc>
        <w:tc>
          <w:tcPr>
            <w:tcW w:type="dxa" w:w="3120"/>
          </w:tcPr>
          <w:p>
            <w:r/>
            <w:r>
              <w:rPr>
                <w:rFonts w:ascii="Calibri" w:hAnsi="Calibri"/>
                <w:sz w:val="20"/>
              </w:rPr>
              <w:t>ClaudeSentiment</w:t>
            </w:r>
          </w:p>
        </w:tc>
      </w:tr>
      <w:tr>
        <w:tc>
          <w:tcPr>
            <w:tcW w:type="dxa" w:w="3120"/>
          </w:tcPr>
          <w:p>
            <w:r/>
            <w:r>
              <w:rPr>
                <w:rFonts w:ascii="Calibri" w:hAnsi="Calibri"/>
                <w:sz w:val="20"/>
              </w:rPr>
              <w:t>4. Signals</w:t>
            </w:r>
          </w:p>
        </w:tc>
        <w:tc>
          <w:tcPr>
            <w:tcW w:type="dxa" w:w="3120"/>
          </w:tcPr>
          <w:p>
            <w:r/>
            <w:r>
              <w:rPr>
                <w:rFonts w:ascii="Calibri" w:hAnsi="Calibri"/>
                <w:sz w:val="20"/>
              </w:rPr>
              <w:t>Tags 15-30 directional sentences as Sector/Geography/Macro with polarity (positive/negative/neutral) and confidence score</w:t>
            </w:r>
          </w:p>
        </w:tc>
        <w:tc>
          <w:tcPr>
            <w:tcW w:type="dxa" w:w="3120"/>
          </w:tcPr>
          <w:p>
            <w:r/>
            <w:r>
              <w:rPr>
                <w:rFonts w:ascii="Calibri" w:hAnsi="Calibri"/>
                <w:sz w:val="20"/>
              </w:rPr>
              <w:t>ClaudeSignal[]</w:t>
            </w:r>
          </w:p>
        </w:tc>
      </w:tr>
      <w:tr>
        <w:tc>
          <w:tcPr>
            <w:tcW w:type="dxa" w:w="3120"/>
          </w:tcPr>
          <w:p>
            <w:r/>
            <w:r>
              <w:rPr>
                <w:rFonts w:ascii="Calibri" w:hAnsi="Calibri"/>
                <w:sz w:val="20"/>
              </w:rPr>
              <w:t>5. KPI Extraction</w:t>
            </w:r>
          </w:p>
        </w:tc>
        <w:tc>
          <w:tcPr>
            <w:tcW w:type="dxa" w:w="3120"/>
          </w:tcPr>
          <w:p>
            <w:r/>
            <w:r>
              <w:rPr>
                <w:rFonts w:ascii="Calibri" w:hAnsi="Calibri"/>
                <w:sz w:val="20"/>
              </w:rPr>
              <w:t>Pulls numerically-specified REIT KPIs (FFO, AFFO, Same-Store NOI, Occupancy, Leasing Spread, Cap Rate, Dev Pipeline) with verbatim source sentences</w:t>
            </w:r>
          </w:p>
        </w:tc>
        <w:tc>
          <w:tcPr>
            <w:tcW w:type="dxa" w:w="3120"/>
          </w:tcPr>
          <w:p>
            <w:r/>
            <w:r>
              <w:rPr>
                <w:rFonts w:ascii="Calibri" w:hAnsi="Calibri"/>
                <w:sz w:val="20"/>
              </w:rPr>
              <w:t>ClaudeKPI[]</w:t>
            </w:r>
          </w:p>
        </w:tc>
      </w:tr>
    </w:tbl>
    <w:p/>
    <w:p>
      <w:r>
        <w:rPr>
          <w:rFonts w:ascii="Calibri" w:hAnsi="Calibri"/>
        </w:rPr>
        <w:t>All five calls run simultaneously via Promise.allSettled, completing in approximately 60 seconds on cold cache. Results are cached by SHA-256 hash of (prompt_kind + prompt_version + ticker + year + quarter), so subsequent loads are under 5 milliseconds.</w:t>
      </w:r>
    </w:p>
    <w:p>
      <w:pPr>
        <w:pStyle w:val="Heading3"/>
      </w:pPr>
      <w:r>
        <w:rPr>
          <w:rFonts w:ascii="Calibri" w:hAnsi="Calibri"/>
          <w:color w:val="1F3A5F"/>
        </w:rPr>
        <w:t>Source attribution</w:t>
      </w:r>
    </w:p>
    <w:p>
      <w:r>
        <w:rPr>
          <w:rFonts w:ascii="Calibri" w:hAnsi="Calibri"/>
        </w:rPr>
        <w:t>Every rendered value in the UI carries a typed source object: {value, source, as_of_date}. The source label is one of: "API Ninjas (transcript)", "API Ninjas (earnings)", "Yahoo Finance", or "Claude analysis". This is visible in the UI as colored dots (blue = API Ninjas, amber = Claude, purple = Yahoo Finance) and as explicit badges on PDF exports.</w:t>
      </w:r>
    </w:p>
    <w:p>
      <w:pPr>
        <w:pStyle w:val="Heading3"/>
      </w:pPr>
      <w:r>
        <w:rPr>
          <w:rFonts w:ascii="Calibri" w:hAnsi="Calibri"/>
          <w:color w:val="1F3A5F"/>
        </w:rPr>
        <w:t>Post-earnings price reaction methodology</w:t>
      </w:r>
    </w:p>
    <w:p>
      <w:r>
        <w:rPr>
          <w:rFonts w:ascii="Calibri" w:hAnsi="Calibri"/>
        </w:rPr>
        <w:t>The price reaction feature computes returns at T+1, T+5, and T+20 trading days after the earnings call, benchmarked against both the FTSE Nareit index (proxied by USRT ETF) and VNQ. The reference point "T" is determined by the earnings_timing field:</w:t>
      </w:r>
    </w:p>
    <w:p>
      <w:pPr>
        <w:pStyle w:val="ListBullet"/>
      </w:pPr>
      <w:r>
        <w:rPr>
          <w:rFonts w:ascii="Calibri" w:hAnsi="Calibri"/>
          <w:sz w:val="22"/>
        </w:rPr>
        <w:t>before_market call → T = prior day's close (earnings-day move is the reaction)</w:t>
      </w:r>
    </w:p>
    <w:p>
      <w:pPr>
        <w:pStyle w:val="ListBullet"/>
      </w:pPr>
      <w:r>
        <w:rPr>
          <w:rFonts w:ascii="Calibri" w:hAnsi="Calibri"/>
          <w:sz w:val="22"/>
        </w:rPr>
        <w:t>during_market call → T = prior day's close</w:t>
      </w:r>
    </w:p>
    <w:p>
      <w:pPr>
        <w:pStyle w:val="ListBullet"/>
      </w:pPr>
      <w:r>
        <w:rPr>
          <w:rFonts w:ascii="Calibri" w:hAnsi="Calibri"/>
          <w:sz w:val="22"/>
        </w:rPr>
        <w:t>after_market call → T = earnings-day close (reaction starts next trading day)</w:t>
      </w:r>
    </w:p>
    <w:p>
      <w:r>
        <w:rPr>
          <w:rFonts w:ascii="Calibri" w:hAnsi="Calibri"/>
        </w:rPr>
        <w:t>Alpha is computed as: stock return minus benchmark return at each horizon.</w:t>
      </w:r>
    </w:p>
    <w:p>
      <w:pPr>
        <w:pStyle w:val="Heading2"/>
      </w:pPr>
      <w:r>
        <w:rPr>
          <w:rFonts w:ascii="Calibri" w:hAnsi="Calibri"/>
          <w:color w:val="1F3A5F"/>
        </w:rPr>
        <w:t>4. Why We Chose This Platform</w:t>
      </w:r>
    </w:p>
    <w:p>
      <w:r>
        <w:rPr>
          <w:rFonts w:ascii="Calibri" w:hAnsi="Calibri"/>
        </w:rPr>
        <w:t>We evaluated eight platforms: Lovable, Base44, Claude Artifacts, Gemini Gems, Streamlit, R Shiny, Retool, and Next.js with Claude Code. We selected Next.js + Claude Code for four reasons:</w:t>
      </w:r>
    </w:p>
    <w:p>
      <w:pPr>
        <w:pStyle w:val="Heading3"/>
      </w:pPr>
      <w:r>
        <w:rPr>
          <w:rFonts w:ascii="Calibri" w:hAnsi="Calibri"/>
          <w:color w:val="1F3A5F"/>
        </w:rPr>
        <w:t>Reason 1: Institutional UI quality</w:t>
      </w:r>
    </w:p>
    <w:p>
      <w:r>
        <w:rPr>
          <w:rFonts w:ascii="Calibri" w:hAnsi="Calibri"/>
        </w:rPr>
        <w:t xml:space="preserve">Our judge is Robin Mesirow, Director of Global Innovation at PGIM — one of the world's largest institutional real estate investors. The UI needs to look like something a PGIM analyst would take seriously. Our visual references were </w:t>
      </w:r>
      <w:r>
        <w:rPr>
          <w:rFonts w:ascii="Calibri" w:hAnsi="Calibri"/>
          <w:b/>
        </w:rPr>
        <w:t>Bloomberg Terminal, PitchBook, and Koyfin</w:t>
      </w:r>
      <w:r>
        <w:rPr>
          <w:rFonts w:ascii="Calibri" w:hAnsi="Calibri"/>
        </w:rPr>
        <w:t>. Streamlit and Lovable cannot produce this level of UI polish — they look like prototypes, not tools.</w:t>
      </w:r>
    </w:p>
    <w:p>
      <w:pPr>
        <w:pStyle w:val="Heading3"/>
      </w:pPr>
      <w:r>
        <w:rPr>
          <w:rFonts w:ascii="Calibri" w:hAnsi="Calibri"/>
          <w:color w:val="1F3A5F"/>
        </w:rPr>
        <w:t>Reason 2: Parallel AI orchestration</w:t>
      </w:r>
    </w:p>
    <w:p>
      <w:r>
        <w:rPr>
          <w:rFonts w:ascii="Calibri" w:hAnsi="Calibri"/>
        </w:rPr>
        <w:t>Each REIT analysis requires five simultaneous Claude API calls. Next.js API routes with Promise.allSettled handle this cleanly. Simpler platforms like Streamlit would require sequential calls (5x slower) or complex workarounds.</w:t>
      </w:r>
    </w:p>
    <w:p>
      <w:pPr>
        <w:pStyle w:val="Heading3"/>
      </w:pPr>
      <w:r>
        <w:rPr>
          <w:rFonts w:ascii="Calibri" w:hAnsi="Calibri"/>
          <w:color w:val="1F3A5F"/>
        </w:rPr>
        <w:t>Reason 3: Aggressive caching for demo reliability</w:t>
      </w:r>
    </w:p>
    <w:p>
      <w:r>
        <w:rPr>
          <w:rFonts w:ascii="Calibri" w:hAnsi="Calibri"/>
        </w:rPr>
        <w:t>The assignment warns that "prototypes that fail to load or function during the pitch will significantly impact your assessment." We built a three-layer SQLite cache (transcripts, API responses, Claude outputs) that makes every previously-analyzed REIT load in under 5 milliseconds. This is impossible in stateless hosted environments like Claude Artifacts or Gemini Gems.</w:t>
      </w:r>
    </w:p>
    <w:p>
      <w:pPr>
        <w:pStyle w:val="Heading3"/>
      </w:pPr>
      <w:r>
        <w:rPr>
          <w:rFonts w:ascii="Calibri" w:hAnsi="Calibri"/>
          <w:color w:val="1F3A5F"/>
        </w:rPr>
        <w:t>Reason 4: Source attribution architecture</w:t>
      </w:r>
    </w:p>
    <w:p>
      <w:r>
        <w:rPr>
          <w:rFonts w:ascii="Calibri" w:hAnsi="Calibri"/>
        </w:rPr>
        <w:t>Our non-negotiable principle that every value carries {value, source, as_of_date} requires strict TypeScript typing. Next.js with TypeScript enforces this at compile time — type errors are caught before code runs, not during a live demo.</w:t>
      </w:r>
    </w:p>
    <w:p>
      <w:pPr>
        <w:pStyle w:val="Heading3"/>
      </w:pPr>
      <w:r>
        <w:rPr>
          <w:rFonts w:ascii="Calibri" w:hAnsi="Calibri"/>
          <w:color w:val="1F3A5F"/>
        </w:rPr>
        <w:t>Trade-off accepted</w:t>
      </w:r>
    </w:p>
    <w:p>
      <w:r>
        <w:rPr>
          <w:rFonts w:ascii="Calibri" w:hAnsi="Calibri"/>
        </w:rPr>
        <w:t>The main trade-off is a steeper learning curve compared to drag-and-drop tools. We mitigated this by using Claude Code (Anthropic's AI coding agent), which generated approximately 95% of the codebase under our direction. The team focused on architecture decisions, prompt engineering, UX design, and pitch strategy — the parts that require human judgment.</w:t>
      </w:r>
    </w:p>
    <w:p>
      <w:pPr>
        <w:pStyle w:val="Heading2"/>
      </w:pPr>
      <w:r>
        <w:rPr>
          <w:rFonts w:ascii="Calibri" w:hAnsi="Calibri"/>
          <w:color w:val="1F3A5F"/>
        </w:rPr>
        <w:t>5. Build Cost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Calibri" w:hAnsi="Calibri"/>
                <w:b/>
                <w:sz w:val="20"/>
              </w:rPr>
              <w:t>Category</w:t>
            </w:r>
          </w:p>
        </w:tc>
        <w:tc>
          <w:tcPr>
            <w:tcW w:type="dxa" w:w="3120"/>
          </w:tcPr>
          <w:p>
            <w:r/>
            <w:r>
              <w:rPr>
                <w:rFonts w:ascii="Calibri" w:hAnsi="Calibri"/>
                <w:b/>
                <w:sz w:val="20"/>
              </w:rPr>
              <w:t>Item</w:t>
            </w:r>
          </w:p>
        </w:tc>
        <w:tc>
          <w:tcPr>
            <w:tcW w:type="dxa" w:w="3120"/>
          </w:tcPr>
          <w:p>
            <w:r/>
            <w:r>
              <w:rPr>
                <w:rFonts w:ascii="Calibri" w:hAnsi="Calibri"/>
                <w:b/>
                <w:sz w:val="20"/>
              </w:rPr>
              <w:t>Cost</w:t>
            </w:r>
          </w:p>
        </w:tc>
      </w:tr>
      <w:tr>
        <w:tc>
          <w:tcPr>
            <w:tcW w:type="dxa" w:w="3120"/>
          </w:tcPr>
          <w:p>
            <w:r/>
            <w:r>
              <w:rPr>
                <w:rFonts w:ascii="Calibri" w:hAnsi="Calibri"/>
                <w:sz w:val="20"/>
              </w:rPr>
              <w:t>Development tooling</w:t>
            </w:r>
          </w:p>
        </w:tc>
        <w:tc>
          <w:tcPr>
            <w:tcW w:type="dxa" w:w="3120"/>
          </w:tcPr>
          <w:p>
            <w:r/>
            <w:r>
              <w:rPr>
                <w:rFonts w:ascii="Calibri" w:hAnsi="Calibri"/>
                <w:sz w:val="20"/>
              </w:rPr>
              <w:t>Claude Code / Claude Max subscription (1 month)</w:t>
            </w:r>
          </w:p>
        </w:tc>
        <w:tc>
          <w:tcPr>
            <w:tcW w:type="dxa" w:w="3120"/>
          </w:tcPr>
          <w:p>
            <w:r/>
            <w:r>
              <w:rPr>
                <w:rFonts w:ascii="Calibri" w:hAnsi="Calibri"/>
                <w:sz w:val="20"/>
              </w:rPr>
              <w:t>~$200</w:t>
            </w:r>
          </w:p>
        </w:tc>
      </w:tr>
      <w:tr>
        <w:tc>
          <w:tcPr>
            <w:tcW w:type="dxa" w:w="3120"/>
          </w:tcPr>
          <w:p>
            <w:r/>
            <w:r>
              <w:rPr>
                <w:rFonts w:ascii="Calibri" w:hAnsi="Calibri"/>
                <w:sz w:val="20"/>
              </w:rPr>
              <w:t>Runtime AI</w:t>
            </w:r>
          </w:p>
        </w:tc>
        <w:tc>
          <w:tcPr>
            <w:tcW w:type="dxa" w:w="3120"/>
          </w:tcPr>
          <w:p>
            <w:r/>
            <w:r>
              <w:rPr>
                <w:rFonts w:ascii="Calibri" w:hAnsi="Calibri"/>
                <w:sz w:val="20"/>
              </w:rPr>
              <w:t>Claude API usage (testing + pre-warm + ad-hoc)</w:t>
            </w:r>
          </w:p>
        </w:tc>
        <w:tc>
          <w:tcPr>
            <w:tcW w:type="dxa" w:w="3120"/>
          </w:tcPr>
          <w:p>
            <w:r/>
            <w:r>
              <w:rPr>
                <w:rFonts w:ascii="Calibri" w:hAnsi="Calibri"/>
                <w:sz w:val="20"/>
              </w:rPr>
              <w:t>~$35</w:t>
            </w:r>
          </w:p>
        </w:tc>
      </w:tr>
      <w:tr>
        <w:tc>
          <w:tcPr>
            <w:tcW w:type="dxa" w:w="3120"/>
          </w:tcPr>
          <w:p>
            <w:r/>
            <w:r>
              <w:rPr>
                <w:rFonts w:ascii="Calibri" w:hAnsi="Calibri"/>
                <w:sz w:val="20"/>
              </w:rPr>
              <w:t>Data APIs</w:t>
            </w:r>
          </w:p>
        </w:tc>
        <w:tc>
          <w:tcPr>
            <w:tcW w:type="dxa" w:w="3120"/>
          </w:tcPr>
          <w:p>
            <w:r/>
            <w:r>
              <w:rPr>
                <w:rFonts w:ascii="Calibri" w:hAnsi="Calibri"/>
                <w:sz w:val="20"/>
              </w:rPr>
              <w:t>API Ninjas Developer tier (1 month)</w:t>
            </w:r>
          </w:p>
        </w:tc>
        <w:tc>
          <w:tcPr>
            <w:tcW w:type="dxa" w:w="3120"/>
          </w:tcPr>
          <w:p>
            <w:r/>
            <w:r>
              <w:rPr>
                <w:rFonts w:ascii="Calibri" w:hAnsi="Calibri"/>
                <w:sz w:val="20"/>
              </w:rPr>
              <w:t>~$49</w:t>
            </w:r>
          </w:p>
        </w:tc>
      </w:tr>
      <w:tr>
        <w:tc>
          <w:tcPr>
            <w:tcW w:type="dxa" w:w="3120"/>
          </w:tcPr>
          <w:p>
            <w:r/>
            <w:r>
              <w:rPr>
                <w:rFonts w:ascii="Calibri" w:hAnsi="Calibri"/>
                <w:sz w:val="20"/>
              </w:rPr>
              <w:t>Hosting</w:t>
            </w:r>
          </w:p>
        </w:tc>
        <w:tc>
          <w:tcPr>
            <w:tcW w:type="dxa" w:w="3120"/>
          </w:tcPr>
          <w:p>
            <w:r/>
            <w:r>
              <w:rPr>
                <w:rFonts w:ascii="Calibri" w:hAnsi="Calibri"/>
                <w:sz w:val="20"/>
              </w:rPr>
              <w:t>Railway (free tier)</w:t>
            </w:r>
          </w:p>
        </w:tc>
        <w:tc>
          <w:tcPr>
            <w:tcW w:type="dxa" w:w="3120"/>
          </w:tcPr>
          <w:p>
            <w:r/>
            <w:r>
              <w:rPr>
                <w:rFonts w:ascii="Calibri" w:hAnsi="Calibri"/>
                <w:sz w:val="20"/>
              </w:rPr>
              <w:t>$0</w:t>
            </w:r>
          </w:p>
        </w:tc>
      </w:tr>
      <w:tr>
        <w:tc>
          <w:tcPr>
            <w:tcW w:type="dxa" w:w="3120"/>
          </w:tcPr>
          <w:p>
            <w:r/>
            <w:r>
              <w:rPr>
                <w:rFonts w:ascii="Calibri" w:hAnsi="Calibri"/>
                <w:sz w:val="20"/>
              </w:rPr>
              <w:t>Version control</w:t>
            </w:r>
          </w:p>
        </w:tc>
        <w:tc>
          <w:tcPr>
            <w:tcW w:type="dxa" w:w="3120"/>
          </w:tcPr>
          <w:p>
            <w:r/>
            <w:r>
              <w:rPr>
                <w:rFonts w:ascii="Calibri" w:hAnsi="Calibri"/>
                <w:sz w:val="20"/>
              </w:rPr>
              <w:t>GitHub (public repo)</w:t>
            </w:r>
          </w:p>
        </w:tc>
        <w:tc>
          <w:tcPr>
            <w:tcW w:type="dxa" w:w="3120"/>
          </w:tcPr>
          <w:p>
            <w:r/>
            <w:r>
              <w:rPr>
                <w:rFonts w:ascii="Calibri" w:hAnsi="Calibri"/>
                <w:sz w:val="20"/>
              </w:rPr>
              <w:t>$0</w:t>
            </w:r>
          </w:p>
        </w:tc>
      </w:tr>
      <w:tr>
        <w:tc>
          <w:tcPr>
            <w:tcW w:type="dxa" w:w="3120"/>
          </w:tcPr>
          <w:p>
            <w:r/>
            <w:r>
              <w:rPr>
                <w:rFonts w:ascii="Calibri" w:hAnsi="Calibri"/>
                <w:sz w:val="20"/>
              </w:rPr>
            </w:r>
          </w:p>
        </w:tc>
        <w:tc>
          <w:tcPr>
            <w:tcW w:type="dxa" w:w="3120"/>
          </w:tcPr>
          <w:p>
            <w:r/>
            <w:r>
              <w:rPr>
                <w:rFonts w:ascii="Calibri" w:hAnsi="Calibri"/>
                <w:sz w:val="20"/>
              </w:rPr>
              <w:t>Total</w:t>
            </w:r>
          </w:p>
        </w:tc>
        <w:tc>
          <w:tcPr>
            <w:tcW w:type="dxa" w:w="3120"/>
          </w:tcPr>
          <w:p>
            <w:r/>
            <w:r>
              <w:rPr>
                <w:rFonts w:ascii="Calibri" w:hAnsi="Calibri"/>
                <w:sz w:val="20"/>
              </w:rPr>
              <w:t>~$284</w:t>
            </w:r>
          </w:p>
        </w:tc>
      </w:tr>
    </w:tbl>
    <w:p/>
    <w:p>
      <w:r>
        <w:rPr>
          <w:rFonts w:ascii="Calibri" w:hAnsi="Calibri"/>
        </w:rPr>
        <w:t>At scale, the marginal cost of analyzing one REIT for one quarter is approximately $0.31 in Claude API usage. A full quarterly refresh of all 195 FTSE Nareit REITs would cost approximately $60 — less than one analyst-hour at institutional billing rates.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