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1B365D"/>
          <w:sz w:val="32"/>
        </w:rPr>
        <w:t>Technical Department – Activities &amp; Potential Risk Register</w:t>
      </w:r>
    </w:p>
    <w:p>
      <w:pPr>
        <w:spacing w:after="160" w:before="0"/>
      </w:pPr>
      <w:r>
        <w:rPr>
          <w:rFonts w:ascii="Calibri" w:hAnsi="Calibri" w:eastAsia="Calibri"/>
          <w:b w:val="0"/>
          <w:color w:val="1A1A1A"/>
          <w:sz w:val="20"/>
        </w:rPr>
        <w:t>This register maps each functional activity area performed by the Technical Department to its potential risk, impact over time (1 day and 1 week), client/customer impact, overall criticality, and recovery requirements. Financial Impact per Day ($) is omitted. Ratings use the existing 1 – Insignificant to 5 – Critical scale. Figures are a workshop draft reasoned from the previous 1-hour / 1-day register — confirm MTPD, RTO and RPO against contracts and tested restore times before treating them as final.</w:t>
      </w:r>
    </w:p>
    <w:p>
      <w:pPr>
        <w:spacing w:after="200"/>
      </w:pPr>
      <w:r>
        <w:rPr>
          <w:rFonts w:ascii="Calibri" w:hAnsi="Calibri" w:eastAsia="Calibri"/>
          <w:b/>
          <w:color w:val="1B365D"/>
          <w:sz w:val="18"/>
        </w:rPr>
        <w:t xml:space="preserve">MTPD: </w:t>
      </w:r>
      <w:r>
        <w:rPr>
          <w:rFonts w:ascii="Calibri" w:hAnsi="Calibri" w:eastAsia="Calibri"/>
          <w:b w:val="0"/>
          <w:color w:val="334155"/>
          <w:sz w:val="18"/>
        </w:rPr>
        <w:t>Maximum Tolerable Period of Disruption (hours) — the point beyond which loss of the function threatens the business itself. Always the largest of the three (MTPD &gt; RTO &gt; RPO in urgency).</w:t>
      </w:r>
      <w:r>
        <w:t xml:space="preserve">  |  </w:t>
      </w:r>
      <w:r>
        <w:t xml:space="preserve">  </w:t>
      </w:r>
      <w:r>
        <w:rPr>
          <w:rFonts w:ascii="Calibri" w:hAnsi="Calibri" w:eastAsia="Calibri"/>
          <w:b/>
          <w:color w:val="1B365D"/>
          <w:sz w:val="18"/>
        </w:rPr>
        <w:t xml:space="preserve">RTO: </w:t>
      </w:r>
      <w:r>
        <w:rPr>
          <w:rFonts w:ascii="Calibri" w:hAnsi="Calibri" w:eastAsia="Calibri"/>
          <w:b w:val="0"/>
          <w:color w:val="334155"/>
          <w:sz w:val="18"/>
        </w:rPr>
        <w:t>Recovery Time Objective (hours) — the maximum time allowed to restore the function to minimum service.</w:t>
      </w:r>
      <w:r>
        <w:t xml:space="preserve">  |  </w:t>
      </w:r>
      <w:r>
        <w:t xml:space="preserve">  </w:t>
      </w:r>
      <w:r>
        <w:rPr>
          <w:rFonts w:ascii="Calibri" w:hAnsi="Calibri" w:eastAsia="Calibri"/>
          <w:b/>
          <w:color w:val="1B365D"/>
          <w:sz w:val="18"/>
        </w:rPr>
        <w:t xml:space="preserve">RPO: </w:t>
      </w:r>
      <w:r>
        <w:rPr>
          <w:rFonts w:ascii="Calibri" w:hAnsi="Calibri" w:eastAsia="Calibri"/>
          <w:b w:val="0"/>
          <w:color w:val="334155"/>
          <w:sz w:val="18"/>
        </w:rPr>
        <w:t>Recovery Point Objective — the maximum tolerable data loss, expressed as time (e.g. “15 minutes”, “1 business day”). N/A where the function is process-only.</w:t>
      </w:r>
    </w:p>
    <w:tbl>
      <w:tblPr>
        <w:jc w:val="center"/>
        <w:tblLook w:firstColumn="1" w:firstRow="1" w:lastColumn="0" w:lastRow="0" w:noHBand="0" w:noVBand="1" w:val="04A0"/>
        <w:tblLayout w:type="fixed"/>
        <w:tblW w:w="19334" w:type="dxa"/>
      </w:tblPr>
      <w:tblGrid>
        <w:gridCol w:w="1927"/>
        <w:gridCol w:w="2608"/>
        <w:gridCol w:w="1701"/>
        <w:gridCol w:w="3061"/>
        <w:gridCol w:w="1701"/>
        <w:gridCol w:w="2721"/>
        <w:gridCol w:w="1814"/>
        <w:gridCol w:w="1247"/>
        <w:gridCol w:w="1247"/>
        <w:gridCol w:w="1304"/>
      </w:tblGrid>
      <w:tr>
        <w:trPr>
          <w:trHeight w:val="397"/>
          <w:tblHeader w:val="true"/>
        </w:trPr>
        <w:tc>
          <w:tcPr>
            <w:tcW w:type="dxa" w:w="2608"/>
            <w:gridSpan w:val="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1814"/>
            <w:gridSpan w:val="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IMPACT ANALYSIS OVER TIME</w:t>
            </w:r>
          </w:p>
        </w:tc>
        <w:tc>
          <w:tcPr>
            <w:tcW w:type="dxa" w:w="1304"/>
            <w:gridSpan w:val="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RECOVERY REQUIREMENTS</w:t>
            </w:r>
          </w:p>
        </w:tc>
      </w:tr>
      <w:tr>
        <w:trPr>
          <w:trHeight w:val="595"/>
          <w:tblHeader w:val="true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Activity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Potential Risk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Impact Rating @ 1 Day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Impact Description @ 1 Week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Impact Rating @ 1 Week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Client / Customer Impact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Overall Criticality Ranking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MTPD (Hrs)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RTO (Hrs)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RPO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Requirements &amp; Solution Design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Incorrect or incomplete requirements and design decisions, resulting in a solution that does not meet business needs, is insecure, or does not scale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Proposal/design timeline is now client-visible. Business Development cannot lock scope or commit dates. Catch-up pressure raises the chance of an incomplete, insecure, or non-scaling design being signed off.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Indirect — new and expanding client proposals delayed. No impact on live production for existing accounts.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336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N/A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Application Development (Coding)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Bugs, security vulnerabilities, weak access controls, or data leakage introduced during coding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Sprint/feature work is a week behind. Client-promised development dates are missed or at risk. Rushing to recover increases defect and vulnerability risk.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Active implementation clients see delayed features/fixes. Live service usually remains up.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336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business day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Source Code &amp; Version Control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Unauthorized or untraceable code changes, loss of code, or approval of changes without proper segregation of duties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No trusted source of truth for a week. Local copies diverge, merges become high-risk, and releases cannot be made safely. Lost or untraceable changes are a material risk.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Client releases freeze. Committed deliveries cannot be shipped until the repository is restored and reconciled.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15 minutes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Code Review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Inadequate review allowing defects, vulnerabilities, or self-approved changes to reach production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Review queue is a week deep. Releases stall, or reviews are skipped to hit a date — allowing defects, vulnerabilities, or self-approved changes toward production.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Indirect — delivery dates slip, or quality/security risk rises if reviews are bypassed to keep a client date.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336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N/A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Testing &amp; Quality Assurance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Inadequate test coverage resulting in undetected defects or untested functionality reaching production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Release confidence is gone. Fixed client go-live dates (often month-end or quarter-end) force a choice between slipping the date or shipping untested functionality. Production defects become likely.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Go-live and enhancement dates are missed, or delivered with untested risk so issues surface in the client environment.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24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N/A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Build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Compromised or inconsistent builds resulting from unauthorized changes or vulnerable dependencies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No reliable, authorised build can be produced. Releases are blocked or assembled manually from uncontrolled artefacts, raising the chance of compromised or inconsistent packages.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Planned client releases cannot be built and shipped; delivery dates slip.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24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business day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CI/CD Pipeline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Unauthorized or unapproved deployments resulting from misconfigured pipelines or bypassed controls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The automated path to production is down for a week. The team relies on manual builds/deployments, increasing unauthorised-change and error risk. Release throughput collapses.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Client releases are delayed or delivered via higher-risk manual deployments.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hour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Release Deployment (Execution)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System outages, data corruption, or unauthorized changes from inadequately tested or controlled deployments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Client-promised features/fixes remain unshipped for a week. Follow-ups escalate and dates must be re-planned. If a delayed deployment is then rushed, outage and data-corruption risk rises.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Missed committed delivery; client follow-up and commercial pressure. Live service usually continues unless the release was a production fix.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N/A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Database &amp; Data Structure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Data loss, corruption, or unauthorized access resulting from poorly controlled database changes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Pending schema or data fixes remain unapplied. During month-end/quarter-end reporting, client data issues persist. Integrity, access-control, and recovery risk compound.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Client operations and financial reporting can be wrong or blocked if a data/schema issue is open. Highest sensitivity at close.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72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15 minutes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Third-Party &amp; Dependency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Vulnerable, malicious, or non-compliant dependencies introduced into the codebase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1 - Insignificant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Dependency and licence work is a week behind. A delayed critical security patch leaves a known exposure open; year-end or anniversary renewals may lapse.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No direct service impact unless a vulnerable component is already in a client-facing system and a patch was pending.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336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N/A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Security &amp; Access Configuration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Credential compromise, unauthorized access, or unremediated security vulnerabilities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Departed staff may still hold access; new staff remain blocked. Unremediated vulnerabilities and credential issues persist, raising the chance of unauthorised access.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Indirect but serious — stale or excessive access to client systems and data; new joiners who support clients cannot work.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24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business day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Environment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Production data exposure or misconfiguration resulting from poorly controlled environments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Test/staging environments remain unavailable or misaligned. The next release cannot be validated; pressure grows to test in production or skip testing.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Next client release delayed. Risk of production-data exposure if environment controls are bypassed to keep a date.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336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business day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Data Handling &amp; ETL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Data leakage, corruption, or privacy violations during the movement of data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Client reports and dashboards are a week stale or wrong. During month-end/quarter-end close this becomes a client-facing reporting failure and a possible SLA issue.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Clients making financial or operational decisions on outdated or incorrect data. Acute during close.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72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hour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Production Support &amp; Troubleshooting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Unauthorized production changes or service disruption from inadequately controlled support activities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Clients cannot get production issues resolved for a week. Business-critical faults persist, escalations peak, and SLA breach plus reputational damage are likely; contract risk follows.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C0392B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5 - Critical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Direct — live client operations disrupted without technical support. Highest exposure for accounts running critical reports at close.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C0392B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5 - Critical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72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hour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Access &amp; Account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Excessive privileges or unauthorized access resulting from poorly managed accounts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Joiner/leaver backlog is a week old. Departed staff retain accounts; new staff and client-support joiners cannot access systems. Segregation-of-duties and excessive-privilege risk grows.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Indirect — unauthorised access path to client environments; staff who serve clients cannot log in.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24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business day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Release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Unauthorized or inadequately validated releases reaching production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Client-communicated release dates are missed and must be re-negotiated. Coordination is lost — either an unvalidated release reaches production, or all releases freeze.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Missed agreed release date; requires formal client notification and re-scheduling. Live service usually continues.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N/A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Cloud Infrastructure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Exposed systems, excessive privileges, or unexpected costs from misconfigured cloud infrastructure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Scaling, security-group, or cost issues remain unaddressed for a week. Exposure, outage under load, or uncontrolled cloud spend becomes realistic; production may still be running on an unmanaged footing.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Potential service degradation or outage if capacity or security issues were pending; otherwise no immediate client symptom.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 hour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Logging &amp; Monitoring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Insufficient monitoring, sensitive data in logs, or loss of audit evidence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E67E22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3 - Moderate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A week-long observability gap. Incidents are noticed only when a client reports them, delaying response. Audit/forensic evidence for that window may be gone.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Issues reach the client before the team. Slower incident response and weaker investigation after the fact.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8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15 minutes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Incident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Recurrence of incidents resulting from inadequate root-cause analysis or bypassed change controls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4 - Major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Contractual SLA breach; reputational damage; possible contract termination. Recurring incidents remain unaddressed because root-cause analysis and controlled recovery never complete.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C0392B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5 - Critical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Direct and severe — prolonged or repeated outage on live client systems; commercial and relationship failure risk.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C0392B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5 - Critical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72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4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15 minutes</w:t>
            </w:r>
          </w:p>
        </w:tc>
      </w:tr>
      <w:tr>
        <w:trPr>
          <w:trHeight w:val="1162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Decommissioning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Loss of required records or residual access resulting from incomplete decommissioning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1 - Insignificant</w:t>
            </w:r>
          </w:p>
        </w:tc>
        <w:tc>
          <w:tcPr>
            <w:tcW w:type="dxa" w:w="306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Retirement work stays incomplete. Residual access and unnecessary cost continue on the system being retired; required records may not have been retained.</w:t>
            </w:r>
          </w:p>
        </w:tc>
        <w:tc>
          <w:tcPr>
            <w:tcW w:type="dxa" w:w="170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272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Minimal — retired or non-production assets. Residual access is an internal control issue unless the asset still holds client data.</w:t>
            </w:r>
          </w:p>
        </w:tc>
        <w:tc>
          <w:tcPr>
            <w:tcW w:type="dxa" w:w="181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7FB3D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2 - Minor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720</w:t>
            </w:r>
          </w:p>
        </w:tc>
        <w:tc>
          <w:tcPr>
            <w:tcW w:type="dxa" w:w="1247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72</w:t>
            </w:r>
          </w:p>
        </w:tc>
        <w:tc>
          <w:tcPr>
            <w:tcW w:type="dxa" w:w="130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N/A</w:t>
            </w:r>
          </w:p>
        </w:tc>
      </w:tr>
    </w:tbl>
    <w:p>
      <w:pPr>
        <w:spacing w:before="200"/>
      </w:pPr>
      <w:r>
        <w:rPr>
          <w:rFonts w:ascii="Calibri" w:hAnsi="Calibri" w:eastAsia="Calibri"/>
          <w:b w:val="0"/>
          <w:color w:val="5A6A7A"/>
          <w:sz w:val="18"/>
        </w:rPr>
        <w:t>Draft for Technical Department workshop. Impact Rating @ 1 Day, Impact Rating @ 1 Week, and Overall Criticality Ranking use the same 1 – Insignificant → 5 – Critical values. Overall ranking follows the 1-week rating. 1-week ratings are never lower than 1-day ratings.</w:t>
      </w: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