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1B365D"/>
          <w:sz w:val="32"/>
        </w:rPr>
        <w:t>Technical Department – Activities &amp; Potential Risk Register</w:t>
      </w:r>
    </w:p>
    <w:p>
      <w:pPr>
        <w:spacing w:after="160"/>
      </w:pPr>
      <w:r>
        <w:rPr>
          <w:rFonts w:ascii="Calibri" w:hAnsi="Calibri" w:eastAsia="Calibri"/>
          <w:b w:val="0"/>
          <w:color w:val="1A1A1A"/>
          <w:sz w:val="20"/>
        </w:rPr>
        <w:t>This register maps each functional activity area performed by the Technical Department to its potential risk and to a Test Result Summary for BCP/DR exercises. Only Activity and Potential Risk are kept from the original register. No completed Technical Department restore/failover test log was provided, so these entries do not invent a pass. Rows are either not yet tested (with a schedule) or they note that remote/VPN work is already BAU while a formal test still has not been run. Replace with the real result after each exercise.</w:t>
      </w:r>
    </w:p>
    <w:p>
      <w:pPr>
        <w:spacing w:after="200"/>
      </w:pPr>
      <w:r>
        <w:rPr>
          <w:rFonts w:ascii="Calibri" w:hAnsi="Calibri" w:eastAsia="Calibri"/>
          <w:b/>
          <w:color w:val="1B365D"/>
          <w:sz w:val="18"/>
        </w:rPr>
        <w:t xml:space="preserve">Test Result Summary: </w:t>
      </w:r>
      <w:r>
        <w:rPr>
          <w:rFonts w:ascii="Calibri" w:hAnsi="Calibri" w:eastAsia="Calibri"/>
          <w:b w:val="0"/>
          <w:color w:val="334155"/>
          <w:sz w:val="18"/>
        </w:rPr>
        <w:t>Short note on the last BCP/DR exercise for this activity — a completed result with any finding, or “Not yet tested” plus a scheduled window. Same style as the organisation sample.</w:t>
      </w:r>
    </w:p>
    <w:tbl>
      <w:tblPr>
        <w:jc w:val="center"/>
        <w:tblLook w:firstColumn="1" w:firstRow="1" w:lastColumn="0" w:lastRow="0" w:noHBand="0" w:noVBand="1" w:val="04A0"/>
        <w:tblLayout w:type="fixed"/>
        <w:tblW w:w="19278" w:type="dxa"/>
      </w:tblPr>
      <w:tblGrid>
        <w:gridCol w:w="3402"/>
        <w:gridCol w:w="6804"/>
        <w:gridCol w:w="9072"/>
      </w:tblGrid>
      <w:tr>
        <w:trPr>
          <w:trHeight w:val="397"/>
          <w:tblHeader w:val="true"/>
        </w:trPr>
        <w:tc>
          <w:tcPr>
            <w:tcW w:type="dxa" w:w="6803"/>
            <w:gridSpan w:val="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RESULTS</w:t>
            </w:r>
          </w:p>
        </w:tc>
      </w:tr>
      <w:tr>
        <w:trPr>
          <w:trHeight w:val="595"/>
          <w:tblHeader w:val="true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Potential Risk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Result Summary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Requirements &amp; Solution Design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Incorrect or incomplete requirements and design decisions, resulting in a solution that does not meet business needs, is insecure, or does not scale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Remote-work via VPN is BAU; formal restore of the design repository not yet tested —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Application Development (Coding)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Bugs, security vulnerabilities, weak access controls, or data leakage introduced during coding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Remote-work via VPN is BAU; workstation rebuild from last commit not yet tested —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Source Code &amp; Version Control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or untraceable code changes, loss of code, or approval of changes without proper segregation of duties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repository restore/failover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Code Review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Inadequate review allowing defects, vulnerabilities, or self-approved changes to reach production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backup-reviewer exercise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Testing &amp; Quality Assurance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Inadequate test coverage resulting in undetected defects or untested functionality reaching production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staging-environment rebuild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Build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Compromised or inconsistent builds resulting from unauthorized changes or vulnerable dependencies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build-host rebuild from source-controlled definitions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CI/CD Pipeline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or unapproved deployments resulting from misconfigured pipelines or bypassed controls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pipeline restore and dual-control manual deploy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Release Deployment (Execution)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System outages, data corruption, or unauthorized changes from inadequately tested or controlled deployments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production rollback exercise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Database &amp; Data Structure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Data loss, corruption, or unauthorized access resulting from poorly controlled database changes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backup restore to an alternate host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Third-Party &amp; Dependency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Vulnerable, malicious, or non-compliant dependencies introduced into the codebase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emergency-patch exercise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Security &amp; Access Configuration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Credential compromise, unauthorized access, or unremediated security vulnerabilities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break-glass admin and directory restore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Environment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Production data exposure or misconfiguration resulting from poorly controlled environments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environment rebuild from baseline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Data Handling &amp; ETL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Data leakage, corruption, or privacy violations during the movement of data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documented job rerun scheduled for Q3 2026, ahead of next close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Production Support &amp; Troubleshooting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production changes or service disruption from inadequately controlled support activities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Remote-work activation is BAU; ticketing/VPN failover not yet formally tested —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Access &amp; Account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Excessive privileges or unauthorized access resulting from poorly managed accounts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leaver-disable and directory restore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Release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or inadequately validated releases reaching production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backup Release Manager exercise scheduled for Q4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Cloud Infrastructure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Exposed systems, excessive privileges, or unexpected costs from misconfigured cloud infrastructure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infrastructure rebuild / provider failover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Logging &amp; Monitoring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Insufficient monitoring, sensitive data in logs, or loss of audit evidence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platform restore and alert-to-ticket failover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Incident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Recurrence of incidents resulting from inadequate root-cause analysis or bypassed change controls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Remote incident-command is BAU; full failover of ticketing/monitoring not yet tested — scheduled for Q3 2026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Decommissioning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Loss of required records or residual access resulting from incomplete decommissioning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 — scheduled for Q4 2026</w:t>
            </w:r>
          </w:p>
        </w:tc>
      </w:tr>
    </w:tbl>
    <w:p>
      <w:pPr>
        <w:spacing w:before="200"/>
      </w:pPr>
      <w:r>
        <w:rPr>
          <w:rFonts w:ascii="Calibri" w:hAnsi="Calibri" w:eastAsia="Calibri"/>
          <w:b w:val="0"/>
          <w:color w:val="5A6A7A"/>
          <w:sz w:val="18"/>
        </w:rPr>
        <w:t>Draft for workshop. These summaries are not a record of tests that have already been run. After each exercise, replace the row with the real result in the sample style (e.g. “Failover successful; manual logging step took longer than planned” or “Remote-work activation smooth; no issues identified”).</w:t>
      </w: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