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eastAsia="Calibri"/>
          <w:b/>
          <w:color w:val="1B365D"/>
          <w:sz w:val="32"/>
        </w:rPr>
        <w:t>Technical Department – Activities &amp; Potential Risk Register</w:t>
      </w:r>
    </w:p>
    <w:p>
      <w:pPr>
        <w:spacing w:after="160" w:before="0"/>
      </w:pPr>
      <w:r>
        <w:rPr>
          <w:rFonts w:ascii="Calibri" w:hAnsi="Calibri" w:eastAsia="Calibri"/>
          <w:b w:val="0"/>
          <w:color w:val="1A1A1A"/>
          <w:sz w:val="20"/>
        </w:rPr>
        <w:t>This register maps each functional activity area performed by the Technical Department to its potential risk, impact over time (1 day and 1 week), client/customer impact, overall criticality, and recovery requirements. Financial Impact per Day ($) is omitted. Ratings use the existing 1 – Insignificant to 5 – Critical scale. Figures are a workshop draft reasoned from the previous 1-hour / 1-day register — confirm MTPD, RTO and RPO against contracts and tested restore times before treating them as final.</w:t>
      </w:r>
    </w:p>
    <w:p>
      <w:pPr>
        <w:spacing w:after="200"/>
      </w:pPr>
      <w:r>
        <w:rPr>
          <w:rFonts w:ascii="Calibri" w:hAnsi="Calibri" w:eastAsia="Calibri"/>
          <w:b/>
          <w:color w:val="1B365D"/>
          <w:sz w:val="18"/>
        </w:rPr>
        <w:t xml:space="preserve">MTPD: </w:t>
      </w:r>
      <w:r>
        <w:rPr>
          <w:rFonts w:ascii="Calibri" w:hAnsi="Calibri" w:eastAsia="Calibri"/>
          <w:b w:val="0"/>
          <w:color w:val="334155"/>
          <w:sz w:val="18"/>
        </w:rPr>
        <w:t>Maximum Tolerable Period of Disruption (hours) — the point beyond which loss of the function threatens the business itself. Always the largest of the three (MTPD &gt; RTO &gt; RPO in urgency).</w:t>
      </w:r>
      <w:r>
        <w:t xml:space="preserve">  |  </w:t>
      </w:r>
      <w:r>
        <w:t xml:space="preserve">  </w:t>
      </w:r>
      <w:r>
        <w:rPr>
          <w:rFonts w:ascii="Calibri" w:hAnsi="Calibri" w:eastAsia="Calibri"/>
          <w:b/>
          <w:color w:val="1B365D"/>
          <w:sz w:val="18"/>
        </w:rPr>
        <w:t xml:space="preserve">RTO: </w:t>
      </w:r>
      <w:r>
        <w:rPr>
          <w:rFonts w:ascii="Calibri" w:hAnsi="Calibri" w:eastAsia="Calibri"/>
          <w:b w:val="0"/>
          <w:color w:val="334155"/>
          <w:sz w:val="18"/>
        </w:rPr>
        <w:t>Recovery Time Objective (hours) — the maximum time allowed to restore the function to minimum service.</w:t>
      </w:r>
      <w:r>
        <w:t xml:space="preserve">  |  </w:t>
      </w:r>
      <w:r>
        <w:t xml:space="preserve">  </w:t>
      </w:r>
      <w:r>
        <w:rPr>
          <w:rFonts w:ascii="Calibri" w:hAnsi="Calibri" w:eastAsia="Calibri"/>
          <w:b/>
          <w:color w:val="1B365D"/>
          <w:sz w:val="18"/>
        </w:rPr>
        <w:t xml:space="preserve">RPO: </w:t>
      </w:r>
      <w:r>
        <w:rPr>
          <w:rFonts w:ascii="Calibri" w:hAnsi="Calibri" w:eastAsia="Calibri"/>
          <w:b w:val="0"/>
          <w:color w:val="334155"/>
          <w:sz w:val="18"/>
        </w:rPr>
        <w:t>Recovery Point Objective — the maximum tolerable data loss, expressed as time (e.g. “15 minutes”, “1 business day”). N/A where the function is process-only.</w:t>
      </w:r>
    </w:p>
    <w:tbl>
      <w:tblPr>
        <w:jc w:val="center"/>
        <w:tblLook w:firstColumn="1" w:firstRow="1" w:lastColumn="0" w:lastRow="0" w:noHBand="0" w:noVBand="1" w:val="04A0"/>
        <w:tblLayout w:type="fixed"/>
        <w:tblW w:w="19334" w:type="dxa"/>
      </w:tblPr>
      <w:tblGrid>
        <w:gridCol w:w="1927"/>
        <w:gridCol w:w="2608"/>
        <w:gridCol w:w="1701"/>
        <w:gridCol w:w="3061"/>
        <w:gridCol w:w="1701"/>
        <w:gridCol w:w="2721"/>
        <w:gridCol w:w="1814"/>
        <w:gridCol w:w="1247"/>
        <w:gridCol w:w="1247"/>
        <w:gridCol w:w="1304"/>
      </w:tblGrid>
      <w:tr>
        <w:trPr>
          <w:trHeight w:val="397"/>
          <w:tblHeader w:val="true"/>
        </w:trPr>
        <w:tc>
          <w:tcPr>
            <w:tcW w:type="dxa" w:w="2608"/>
            <w:gridSpan w:val="2"/>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8"/>
              </w:rPr>
              <w:t>FUNCTION</w:t>
            </w:r>
          </w:p>
        </w:tc>
        <w:tc>
          <w:tcPr>
            <w:tcW w:type="dxa" w:w="1814"/>
            <w:gridSpan w:val="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F7A8C" w:val="clear"/>
          </w:tcPr>
          <w:p>
            <w:pPr>
              <w:spacing w:before="0" w:after="0" w:line="252" w:lineRule="auto"/>
              <w:jc w:val="center"/>
            </w:pPr>
            <w:r/>
            <w:r>
              <w:rPr>
                <w:rFonts w:ascii="Calibri" w:hAnsi="Calibri" w:eastAsia="Calibri"/>
                <w:b/>
                <w:color w:val="FFFFFF"/>
                <w:sz w:val="18"/>
              </w:rPr>
              <w:t>IMPACT ANALYSIS OVER TIME</w:t>
            </w:r>
          </w:p>
        </w:tc>
        <w:tc>
          <w:tcPr>
            <w:tcW w:type="dxa" w:w="1304"/>
            <w:gridSpan w:val="3"/>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8"/>
              </w:rPr>
              <w:t>RECOVERY REQUIREMENTS</w:t>
            </w:r>
          </w:p>
        </w:tc>
      </w:tr>
      <w:tr>
        <w:trPr>
          <w:trHeight w:val="595"/>
          <w:tblHeader w:val="true"/>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Activity</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Potential Risk</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F7A8C" w:val="clear"/>
          </w:tcPr>
          <w:p>
            <w:pPr>
              <w:spacing w:before="0" w:after="0" w:line="252" w:lineRule="auto"/>
              <w:jc w:val="center"/>
            </w:pPr>
            <w:r/>
            <w:r>
              <w:rPr>
                <w:rFonts w:ascii="Calibri" w:hAnsi="Calibri" w:eastAsia="Calibri"/>
                <w:b/>
                <w:color w:val="FFFFFF"/>
                <w:sz w:val="16"/>
              </w:rPr>
              <w:t>Impact Rating @ 1 Day</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F7A8C" w:val="clear"/>
          </w:tcPr>
          <w:p>
            <w:pPr>
              <w:spacing w:before="0" w:after="0" w:line="252" w:lineRule="auto"/>
              <w:jc w:val="center"/>
            </w:pPr>
            <w:r/>
            <w:r>
              <w:rPr>
                <w:rFonts w:ascii="Calibri" w:hAnsi="Calibri" w:eastAsia="Calibri"/>
                <w:b/>
                <w:color w:val="FFFFFF"/>
                <w:sz w:val="16"/>
              </w:rPr>
              <w:t>Impact Description @ 1 Week</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F7A8C" w:val="clear"/>
          </w:tcPr>
          <w:p>
            <w:pPr>
              <w:spacing w:before="0" w:after="0" w:line="252" w:lineRule="auto"/>
              <w:jc w:val="center"/>
            </w:pPr>
            <w:r/>
            <w:r>
              <w:rPr>
                <w:rFonts w:ascii="Calibri" w:hAnsi="Calibri" w:eastAsia="Calibri"/>
                <w:b/>
                <w:color w:val="FFFFFF"/>
                <w:sz w:val="16"/>
              </w:rPr>
              <w:t>Impact Rating @ 1 Week</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F7A8C" w:val="clear"/>
          </w:tcPr>
          <w:p>
            <w:pPr>
              <w:spacing w:before="0" w:after="0" w:line="252" w:lineRule="auto"/>
              <w:jc w:val="center"/>
            </w:pPr>
            <w:r/>
            <w:r>
              <w:rPr>
                <w:rFonts w:ascii="Calibri" w:hAnsi="Calibri" w:eastAsia="Calibri"/>
                <w:b/>
                <w:color w:val="FFFFFF"/>
                <w:sz w:val="16"/>
              </w:rPr>
              <w:t>Client / Customer Impact</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F7A8C" w:val="clear"/>
          </w:tcPr>
          <w:p>
            <w:pPr>
              <w:spacing w:before="0" w:after="0" w:line="252" w:lineRule="auto"/>
              <w:jc w:val="center"/>
            </w:pPr>
            <w:r/>
            <w:r>
              <w:rPr>
                <w:rFonts w:ascii="Calibri" w:hAnsi="Calibri" w:eastAsia="Calibri"/>
                <w:b/>
                <w:color w:val="FFFFFF"/>
                <w:sz w:val="16"/>
              </w:rPr>
              <w:t>Overall Criticality Ranking</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MTPD (Hrs)</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RTO (Hrs)</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RPO</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Requirements &amp; Solution Design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Incorrect or incomplete requirements and design decisions, resulting in a solution that does not meet business needs, is insecure, or does not scale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Proposal/design timeline is now client-visible. Business Development cannot lock scope or commit dates. Catch-up pressure raises the chance of an incomplete, insecure, or non-scaling design being signed off.</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Indirect — new and expanding client proposals delayed. No impact on live production for existing accounts.</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336</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48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N/A</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Application Development (Coding)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Bugs, security vulnerabilities, weak access controls, or data leakage introduced during coding</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Sprint/feature work is a week behind. Client-promised development dates are missed or at risk. Rushing to recover increases defect and vulnerability risk.</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Active implementation clients see delayed features/fixes. Live service usually remains up.</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336</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48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 business day</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Source Code &amp; Version Control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Unauthorized or untraceable code changes, loss of code, or approval of changes without proper segregation of duties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No trusted source of truth for a week. Local copies diverge, merges become high-risk, and releases cannot be made safely. Lost or untraceable changes are a material risk.</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Client releases freeze. Committed deliveries cannot be shipped until the repository is restored and reconciled.</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15 minutes</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Code Review</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Inadequate review allowing defects, vulnerabilities, or self-approved changes to reach production</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Review queue is a week deep. Releases stall, or reviews are skipped to hit a date — allowing defects, vulnerabilities, or self-approved changes toward production.</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Indirect — delivery dates slip, or quality/security risk rises if reviews are bypassed to keep a client date.</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336</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48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N/A</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Testing &amp; Quality Assurance</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Inadequate test coverage resulting in undetected defects or untested functionality reaching production</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Release confidence is gone. Fixed client go-live dates (often month-end or quarter-end) force a choice between slipping the date or shipping untested functionality. Production defects become likely.</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Go-live and enhancement dates are missed, or delivered with untested risk so issues surface in the client environment.</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24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N/A</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Build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Compromised or inconsistent builds resulting from unauthorized changes or vulnerable dependencies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No reliable, authorised build can be produced. Releases are blocked or assembled manually from uncontrolled artefacts, raising the chance of compromised or inconsistent packages.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Planned client releases cannot be built and shipped; delivery dates slip.</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24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 business day</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CI/CD Pipeline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Unauthorized or unapproved deployments resulting from misconfigured pipelines or bypassed controls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The automated path to production is down for a week. The team relies on manual builds/deployments, increasing unauthorised-change and error risk. Release throughput collapses.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Client releases are delayed or delivered via higher-risk manual deployments.</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 hour</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Release Deployment (Execution)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System outages, data corruption, or unauthorized changes from inadequately tested or controlled deployments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Client-promised features/fixes remain unshipped for a week. Follow-ups escalate and dates must be re-planned. If a delayed deployment is then rushed, outage and data-corruption risk rises.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Missed committed delivery; client follow-up and commercial pressure. Live service usually continues unless the release was a production fix.</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N/A</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Database &amp; Data Structure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 loss, corruption, or unauthorized access resulting from poorly controlled database changes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Pending schema or data fixes remain unapplied. During month-end/quarter-end reporting, client data issues persist. Integrity, access-control, and recovery risk compound.</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Client operations and financial reporting can be wrong or blocked if a data/schema issue is open. Highest sensitivity at close.</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72</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15 minutes</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Third-Party &amp; Dependency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Vulnerable, malicious, or non-compliant dependencies introduced into the codebase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82C785" w:val="clear"/>
          </w:tcPr>
          <w:p>
            <w:pPr>
              <w:spacing w:before="0" w:after="0" w:line="252" w:lineRule="auto"/>
              <w:jc w:val="center"/>
            </w:pPr>
            <w:r/>
            <w:r>
              <w:rPr>
                <w:rFonts w:ascii="Calibri" w:hAnsi="Calibri" w:eastAsia="Calibri"/>
                <w:b/>
                <w:color w:val="1A1A1A"/>
                <w:sz w:val="16"/>
              </w:rPr>
              <w:t>1 - Insignificant</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Dependency and licence work is a week behind. A delayed critical security patch leaves a known exposure open; year-end or anniversary renewals may lapse.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No direct service impact unless a vulnerable component is already in a client-facing system and a patch was pending.</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336</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48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N/A</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Security &amp; Access Configuration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Credential compromise, unauthorized access, or unremediated security vulnerabilities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Departed staff may still hold access; new staff remain blocked. Unremediated vulnerabilities and credential issues persist, raising the chance of unauthorised access.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Indirect but serious — stale or excessive access to client systems and data; new joiners who support clients cannot work.</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24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 business day</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Environment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Production data exposure or misconfiguration resulting from poorly controlled environments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Test/staging environments remain unavailable or misaligned. The next release cannot be validated; pressure grows to test in production or skip testing.</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Next client release delayed. Risk of production-data exposure if environment controls are bypassed to keep a date.</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336</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48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 business day</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Data Handling &amp; ETL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 leakage, corruption, or privacy violations during the movement of data</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Client reports and dashboards are a week stale or wrong. During month-end/quarter-end close this becomes a client-facing reporting failure and a possible SLA issue.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Clients making financial or operational decisions on outdated or incorrect data. Acute during close.</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72</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 hour</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Production Support &amp; Troubleshooting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Unauthorized production changes or service disruption from inadequately controlled support activities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Clients cannot get production issues resolved for a week. Business-critical faults persist, escalations peak, and SLA breach plus reputational damage are likely; contract risk follows.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C0392B" w:val="clear"/>
          </w:tcPr>
          <w:p>
            <w:pPr>
              <w:spacing w:before="0" w:after="0" w:line="252" w:lineRule="auto"/>
              <w:jc w:val="center"/>
            </w:pPr>
            <w:r/>
            <w:r>
              <w:rPr>
                <w:rFonts w:ascii="Calibri" w:hAnsi="Calibri" w:eastAsia="Calibri"/>
                <w:b/>
                <w:color w:val="FFFFFF"/>
                <w:sz w:val="16"/>
              </w:rPr>
              <w:t>5 - Critical</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Direct — live client operations disrupted without technical support. Highest exposure for accounts running critical reports at close.</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C0392B" w:val="clear"/>
          </w:tcPr>
          <w:p>
            <w:pPr>
              <w:spacing w:before="0" w:after="0" w:line="252" w:lineRule="auto"/>
              <w:jc w:val="center"/>
            </w:pPr>
            <w:r/>
            <w:r>
              <w:rPr>
                <w:rFonts w:ascii="Calibri" w:hAnsi="Calibri" w:eastAsia="Calibri"/>
                <w:b/>
                <w:color w:val="FFFFFF"/>
                <w:sz w:val="16"/>
              </w:rPr>
              <w:t>5 - Critical</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72</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 hour</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Access &amp; Account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Excessive privileges or unauthorized access resulting from poorly managed accounts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Joiner/leaver backlog is a week old. Departed staff retain accounts; new staff and client-support joiners cannot access systems. Segregation-of-duties and excessive-privilege risk grows.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Indirect — unauthorised access path to client environments; staff who serve clients cannot log in.</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24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 business day</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Release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Unauthorized or inadequately validated releases reaching production</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Client-communicated release dates are missed and must be re-negotiated. Coordination is lost — either an unvalidated release reaches production, or all releases freeze.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Missed agreed release date; requires formal client notification and re-scheduling. Live service usually continues.</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48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N/A</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Cloud Infrastructure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Exposed systems, excessive privileges, or unexpected costs from misconfigured cloud infrastructure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Scaling, security-group, or cost issues remain unaddressed for a week. Exposure, outage under load, or uncontrolled cloud spend becomes realistic; production may still be running on an unmanaged footing.</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Potential service degradation or outage if capacity or security issues were pending; otherwise no immediate client symptom.</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 hour</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Logging &amp; Monitoring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Insufficient monitoring, sensitive data in logs, or loss of audit evidence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E67E22" w:val="clear"/>
          </w:tcPr>
          <w:p>
            <w:pPr>
              <w:spacing w:before="0" w:after="0" w:line="252" w:lineRule="auto"/>
              <w:jc w:val="center"/>
            </w:pPr>
            <w:r/>
            <w:r>
              <w:rPr>
                <w:rFonts w:ascii="Calibri" w:hAnsi="Calibri" w:eastAsia="Calibri"/>
                <w:b/>
                <w:color w:val="1A1A1A"/>
                <w:sz w:val="16"/>
              </w:rPr>
              <w:t>3 - Moderate</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 week-long observability gap. Incidents are noticed only when a client reports them, delaying response. Audit/forensic evidence for that window may be gone.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Issues reach the client before the team. Slower incident response and weaker investigation after the fact.</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8</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15 minutes</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Incident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Recurrence of incidents resulting from inadequate root-cause analysis or bypassed change controls</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D03F" w:val="clear"/>
          </w:tcPr>
          <w:p>
            <w:pPr>
              <w:spacing w:before="0" w:after="0" w:line="252" w:lineRule="auto"/>
              <w:jc w:val="center"/>
            </w:pPr>
            <w:r/>
            <w:r>
              <w:rPr>
                <w:rFonts w:ascii="Calibri" w:hAnsi="Calibri" w:eastAsia="Calibri"/>
                <w:b/>
                <w:color w:val="1A1A1A"/>
                <w:sz w:val="16"/>
              </w:rPr>
              <w:t>4 - Major</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Contractual SLA breach; reputational damage; possible contract termination. Recurring incidents remain unaddressed because root-cause analysis and controlled recovery never complete.</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C0392B" w:val="clear"/>
          </w:tcPr>
          <w:p>
            <w:pPr>
              <w:spacing w:before="0" w:after="0" w:line="252" w:lineRule="auto"/>
              <w:jc w:val="center"/>
            </w:pPr>
            <w:r/>
            <w:r>
              <w:rPr>
                <w:rFonts w:ascii="Calibri" w:hAnsi="Calibri" w:eastAsia="Calibri"/>
                <w:b/>
                <w:color w:val="FFFFFF"/>
                <w:sz w:val="16"/>
              </w:rPr>
              <w:t>5 - Critical</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Direct and severe — prolonged or repeated outage on live client systems; commercial and relationship failure risk.</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C0392B" w:val="clear"/>
          </w:tcPr>
          <w:p>
            <w:pPr>
              <w:spacing w:before="0" w:after="0" w:line="252" w:lineRule="auto"/>
              <w:jc w:val="center"/>
            </w:pPr>
            <w:r/>
            <w:r>
              <w:rPr>
                <w:rFonts w:ascii="Calibri" w:hAnsi="Calibri" w:eastAsia="Calibri"/>
                <w:b/>
                <w:color w:val="FFFFFF"/>
                <w:sz w:val="16"/>
              </w:rPr>
              <w:t>5 - Critical</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72</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4</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val="0"/>
                <w:color w:val="1A1A1A"/>
                <w:sz w:val="16"/>
              </w:rPr>
              <w:t>15 minutes</w:t>
            </w:r>
          </w:p>
        </w:tc>
      </w:tr>
      <w:tr>
        <w:trPr>
          <w:trHeight w:val="1162"/>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Decommissioning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Loss of required records or residual access resulting from incomplete decommissioning</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82C785" w:val="clear"/>
          </w:tcPr>
          <w:p>
            <w:pPr>
              <w:spacing w:before="0" w:after="0" w:line="252" w:lineRule="auto"/>
              <w:jc w:val="center"/>
            </w:pPr>
            <w:r/>
            <w:r>
              <w:rPr>
                <w:rFonts w:ascii="Calibri" w:hAnsi="Calibri" w:eastAsia="Calibri"/>
                <w:b/>
                <w:color w:val="1A1A1A"/>
                <w:sz w:val="16"/>
              </w:rPr>
              <w:t>1 - Insignificant</w:t>
            </w:r>
          </w:p>
        </w:tc>
        <w:tc>
          <w:tcPr>
            <w:tcW w:type="dxa" w:w="306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Retirement work stays incomplete. Residual access and unnecessary cost continue on the system being retired; required records may not have been retained.</w:t>
            </w:r>
          </w:p>
        </w:tc>
        <w:tc>
          <w:tcPr>
            <w:tcW w:type="dxa" w:w="170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272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Minimal — retired or non-production assets. Residual access is an internal control issue unless the asset still holds client data.</w:t>
            </w:r>
          </w:p>
        </w:tc>
        <w:tc>
          <w:tcPr>
            <w:tcW w:type="dxa" w:w="181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7FB3D5" w:val="clear"/>
          </w:tcPr>
          <w:p>
            <w:pPr>
              <w:spacing w:before="0" w:after="0" w:line="252" w:lineRule="auto"/>
              <w:jc w:val="center"/>
            </w:pPr>
            <w:r/>
            <w:r>
              <w:rPr>
                <w:rFonts w:ascii="Calibri" w:hAnsi="Calibri" w:eastAsia="Calibri"/>
                <w:b/>
                <w:color w:val="1A1A1A"/>
                <w:sz w:val="16"/>
              </w:rPr>
              <w:t>2 - Minor</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720</w:t>
            </w:r>
          </w:p>
        </w:tc>
        <w:tc>
          <w:tcPr>
            <w:tcW w:type="dxa" w:w="1247"/>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72</w:t>
            </w:r>
          </w:p>
        </w:tc>
        <w:tc>
          <w:tcPr>
            <w:tcW w:type="dxa" w:w="130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val="0"/>
                <w:color w:val="1A1A1A"/>
                <w:sz w:val="16"/>
              </w:rPr>
              <w:t>N/A</w:t>
            </w:r>
          </w:p>
        </w:tc>
      </w:tr>
    </w:tbl>
    <w:p>
      <w:pPr>
        <w:spacing w:before="200"/>
      </w:pPr>
      <w:r>
        <w:rPr>
          <w:rFonts w:ascii="Calibri" w:hAnsi="Calibri" w:eastAsia="Calibri"/>
          <w:b w:val="0"/>
          <w:color w:val="5A6A7A"/>
          <w:sz w:val="18"/>
        </w:rPr>
        <w:t>Draft for Technical Department workshop. Impact Rating @ 1 Day, Impact Rating @ 1 Week, and Overall Criticality Ranking use the same 1 – Insignificant → 5 – Critical values. Overall ranking follows the 1-week rating. 1-week ratings are never lower than 1-day ratings.</w:t>
      </w:r>
    </w:p>
    <w:p>
      <w:r>
        <w:br w:type="page"/>
      </w:r>
    </w:p>
    <w:p>
      <w:pPr>
        <w:spacing w:after="120"/>
      </w:pPr>
      <w:r>
        <w:rPr>
          <w:rFonts w:ascii="Calibri" w:hAnsi="Calibri" w:eastAsia="Calibri"/>
          <w:b/>
          <w:color w:val="1B365D"/>
          <w:sz w:val="32"/>
        </w:rPr>
        <w:t>Technical Department – Dependencies</w:t>
      </w:r>
    </w:p>
    <w:p>
      <w:pPr>
        <w:spacing w:after="160"/>
      </w:pPr>
      <w:r>
        <w:rPr>
          <w:rFonts w:ascii="Calibri" w:hAnsi="Calibri" w:eastAsia="Calibri"/>
          <w:b w:val="0"/>
          <w:color w:val="1A1A1A"/>
          <w:sz w:val="20"/>
        </w:rPr>
        <w:t>This table maps each Technical Department activity to what it relies on, who relies on it, and the systems, records, people, and vendors that keep it running. Activity and Potential Risk are unchanged from the original register. Personnel are shown as role titles (Primary / Backup), not named staff, until the team confirms owners. Product names already used elsewhere in the organisation BIA (Oracle ERP, ticketing portal, VPN) are reused where they apply; other tools are described by function so we do not invent a stack.</w:t>
      </w:r>
    </w:p>
    <w:p>
      <w:pPr>
        <w:spacing w:after="200"/>
      </w:pPr>
      <w:r>
        <w:rPr>
          <w:rFonts w:ascii="Calibri" w:hAnsi="Calibri" w:eastAsia="Calibri"/>
          <w:b/>
          <w:color w:val="1B365D"/>
          <w:sz w:val="18"/>
        </w:rPr>
        <w:t xml:space="preserve">Upstream: </w:t>
      </w:r>
      <w:r>
        <w:rPr>
          <w:rFonts w:ascii="Calibri" w:hAnsi="Calibri" w:eastAsia="Calibri"/>
          <w:b w:val="0"/>
          <w:color w:val="334155"/>
          <w:sz w:val="18"/>
        </w:rPr>
        <w:t>What this activity relies on — teams, inputs, infrastructure, or contracts that must be available before the work can be done.</w:t>
      </w:r>
      <w:r>
        <w:rPr>
          <w:rFonts w:ascii="Calibri" w:hAnsi="Calibri" w:eastAsia="Calibri"/>
          <w:b w:val="0"/>
          <w:color w:val="94A3B8"/>
          <w:sz w:val="18"/>
        </w:rPr>
        <w:t xml:space="preserve">  |  </w:t>
      </w:r>
      <w:r>
        <w:rPr>
          <w:rFonts w:ascii="Calibri" w:hAnsi="Calibri" w:eastAsia="Calibri"/>
          <w:b/>
          <w:color w:val="1B365D"/>
          <w:sz w:val="18"/>
        </w:rPr>
        <w:t xml:space="preserve">Downstream: </w:t>
      </w:r>
      <w:r>
        <w:rPr>
          <w:rFonts w:ascii="Calibri" w:hAnsi="Calibri" w:eastAsia="Calibri"/>
          <w:b w:val="0"/>
          <w:color w:val="334155"/>
          <w:sz w:val="18"/>
        </w:rPr>
        <w:t>Who relies on this activity — internal teams or client-facing functions that stall or fail if it stops.</w:t>
      </w:r>
      <w:r>
        <w:rPr>
          <w:rFonts w:ascii="Calibri" w:hAnsi="Calibri" w:eastAsia="Calibri"/>
          <w:b w:val="0"/>
          <w:color w:val="94A3B8"/>
          <w:sz w:val="18"/>
        </w:rPr>
        <w:t xml:space="preserve">  |  </w:t>
      </w:r>
      <w:r>
        <w:rPr>
          <w:rFonts w:ascii="Calibri" w:hAnsi="Calibri" w:eastAsia="Calibri"/>
          <w:b/>
          <w:color w:val="1B365D"/>
          <w:sz w:val="18"/>
        </w:rPr>
        <w:t xml:space="preserve">Key Systems: </w:t>
      </w:r>
      <w:r>
        <w:rPr>
          <w:rFonts w:ascii="Calibri" w:hAnsi="Calibri" w:eastAsia="Calibri"/>
          <w:b w:val="0"/>
          <w:color w:val="334155"/>
          <w:sz w:val="18"/>
        </w:rPr>
        <w:t>Applications and platforms used to perform the work.</w:t>
      </w:r>
      <w:r>
        <w:rPr>
          <w:rFonts w:ascii="Calibri" w:hAnsi="Calibri" w:eastAsia="Calibri"/>
          <w:b w:val="0"/>
          <w:color w:val="94A3B8"/>
          <w:sz w:val="18"/>
        </w:rPr>
        <w:t xml:space="preserve">  |  </w:t>
      </w:r>
      <w:r>
        <w:rPr>
          <w:rFonts w:ascii="Calibri" w:hAnsi="Calibri" w:eastAsia="Calibri"/>
          <w:b/>
          <w:color w:val="1B365D"/>
          <w:sz w:val="18"/>
        </w:rPr>
        <w:t xml:space="preserve">Key Data: </w:t>
      </w:r>
      <w:r>
        <w:rPr>
          <w:rFonts w:ascii="Calibri" w:hAnsi="Calibri" w:eastAsia="Calibri"/>
          <w:b w:val="0"/>
          <w:color w:val="334155"/>
          <w:sz w:val="18"/>
        </w:rPr>
        <w:t>Records this activity creates, changes, or must have.</w:t>
      </w:r>
      <w:r>
        <w:rPr>
          <w:rFonts w:ascii="Calibri" w:hAnsi="Calibri" w:eastAsia="Calibri"/>
          <w:b w:val="0"/>
          <w:color w:val="94A3B8"/>
          <w:sz w:val="18"/>
        </w:rPr>
        <w:t xml:space="preserve">  |  </w:t>
      </w:r>
      <w:r>
        <w:rPr>
          <w:rFonts w:ascii="Calibri" w:hAnsi="Calibri" w:eastAsia="Calibri"/>
          <w:b/>
          <w:color w:val="1B365D"/>
          <w:sz w:val="18"/>
        </w:rPr>
        <w:t xml:space="preserve">Key Personnel: </w:t>
      </w:r>
      <w:r>
        <w:rPr>
          <w:rFonts w:ascii="Calibri" w:hAnsi="Calibri" w:eastAsia="Calibri"/>
          <w:b w:val="0"/>
          <w:color w:val="334155"/>
          <w:sz w:val="18"/>
        </w:rPr>
        <w:t>Named owner and deputy. Format: Name (Primary) / Name (Backup). Roles are placeholders.</w:t>
      </w:r>
      <w:r>
        <w:rPr>
          <w:rFonts w:ascii="Calibri" w:hAnsi="Calibri" w:eastAsia="Calibri"/>
          <w:b w:val="0"/>
          <w:color w:val="94A3B8"/>
          <w:sz w:val="18"/>
        </w:rPr>
        <w:t xml:space="preserve">  |  </w:t>
      </w:r>
      <w:r>
        <w:rPr>
          <w:rFonts w:ascii="Calibri" w:hAnsi="Calibri" w:eastAsia="Calibri"/>
          <w:b/>
          <w:color w:val="1B365D"/>
          <w:sz w:val="18"/>
        </w:rPr>
        <w:t xml:space="preserve">Key Vendors: </w:t>
      </w:r>
      <w:r>
        <w:rPr>
          <w:rFonts w:ascii="Calibri" w:hAnsi="Calibri" w:eastAsia="Calibri"/>
          <w:b w:val="0"/>
          <w:color w:val="334155"/>
          <w:sz w:val="18"/>
        </w:rPr>
        <w:t>External organisations this activity depends on.</w:t>
      </w:r>
    </w:p>
    <w:tbl>
      <w:tblPr>
        <w:jc w:val="center"/>
        <w:tblLook w:firstColumn="1" w:firstRow="1" w:lastColumn="0" w:lastRow="0" w:noHBand="0" w:noVBand="1" w:val="04A0"/>
        <w:tblLayout w:type="fixed"/>
        <w:tblW w:w="20185" w:type="dxa"/>
      </w:tblPr>
      <w:tblGrid>
        <w:gridCol w:w="1927"/>
        <w:gridCol w:w="2608"/>
        <w:gridCol w:w="2948"/>
        <w:gridCol w:w="2835"/>
        <w:gridCol w:w="2494"/>
        <w:gridCol w:w="2608"/>
        <w:gridCol w:w="2381"/>
        <w:gridCol w:w="2381"/>
      </w:tblGrid>
      <w:tr>
        <w:trPr>
          <w:trHeight w:val="397"/>
          <w:tblHeader w:val="true"/>
        </w:trPr>
        <w:tc>
          <w:tcPr>
            <w:tcW w:type="dxa" w:w="2608"/>
            <w:gridSpan w:val="2"/>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8"/>
              </w:rPr>
              <w:t>FUNCTION</w:t>
            </w:r>
          </w:p>
        </w:tc>
        <w:tc>
          <w:tcPr>
            <w:tcW w:type="dxa" w:w="2381"/>
            <w:gridSpan w:val="6"/>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8"/>
              </w:rPr>
              <w:t>DEPENDENCIES</w:t>
            </w:r>
          </w:p>
        </w:tc>
      </w:tr>
      <w:tr>
        <w:trPr>
          <w:trHeight w:val="652"/>
          <w:tblHeader w:val="true"/>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Activity</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Potential Risk</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Upstream Dependencies (Relies On)</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Downstream Dependencies (Relied On By)</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Key Systems / Applications</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Key Data / Records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Key Personnel (Primary +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1B365D" w:val="clear"/>
          </w:tcPr>
          <w:p>
            <w:pPr>
              <w:spacing w:before="0" w:after="0" w:line="252" w:lineRule="auto"/>
              <w:jc w:val="center"/>
            </w:pPr>
            <w:r/>
            <w:r>
              <w:rPr>
                <w:rFonts w:ascii="Calibri" w:hAnsi="Calibri" w:eastAsia="Calibri"/>
                <w:b/>
                <w:color w:val="FFFFFF"/>
                <w:sz w:val="16"/>
              </w:rPr>
              <w:t>Key Vendors / Third Parties</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Requirements &amp; Solution Design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Incorrect or incomplete requirements and design decisions, resulting in a solution that does not meet business needs, is insecure, or does not scale</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Business Development client brief and proposal window; Implementation Functional Unit process knowledge; VPN for client discovery</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Implementation Technical Unit (build against the design); Business Development (proposal commitment and dates)</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Design/requirements repository; proposal workspace; VPN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Requirements specs; solution design documents; acceptance criteria; client process notes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Solutions Architect (Primary) / Functional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Oracle Corporation (product documentation, where the client estate is Oracle)</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Application Development (Coding)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Bugs, security vulnerabilities, weak access controls, or data leakage introduced during coding</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Approved requirements and design; source control availability; development environment; VPN</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Code Review; Testing &amp; QA; Build Management; CI/CD Pipeline</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Development workstations; source control platform; development environment; VPN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Application source; uncommitted local work; coding standards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Lead Developer (Primary) / Senior Developer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Client ERP platform vendor (Oracle where applicable); language/runtime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Source Code &amp; Version Control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Unauthorized or untraceable code changes, loss of code, or approval of changes without proper segregation of duties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Identity/directory so staff can authenticate; network access to the repository</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Application Development; Code Review; Build Management; CI/CD; Release Deployment — the whole delivery path</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Source control platform</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Repositories; commit history; branch permissions; merge and approval records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Technical Lead (Primary) / Senior Developer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Source control platform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Code Review</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Inadequate review allowing defects, vulnerabilities, or self-approved changes to reach production</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Source control; submitted change requests; coding and security standards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Build Management; CI/CD; Release Deployment (unreviewed changes must not ship)</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Source control review workflow</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Review comments; approval records; defect and vulnerability findings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Technical Lead (Primary) / Senior Developer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Source control platform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Testing &amp; Quality Assurance</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Inadequate test coverage resulting in undetected defects or untested functionality reaching production</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Testable build; requirements/acceptance criteria; test or staging environment; Implementation Functional Unit business scenarios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Release Management; Release Deployment; client go-live confidence</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Test/staging environment; ticketing portal (defects); VPN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Test cases; test results; defect logs; sign-off records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QA Lead (Primary) / Functional Tester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Hosting/cloud provider (test environments)</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Build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Compromised or inconsistent builds resulting from unauthorized changes or vulnerable dependencies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Approved code in source control; dependency/artefact store; build configuration</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CI/CD Pipeline; Release Deployment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Build server; artefact repository; source control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Build definitions; build logs; versioned artefacts; dependency lockfiles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DevOps Engineer (Primary) / Technical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Build and artefact platform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CI/CD Pipeline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Unauthorized or unapproved deployments resulting from misconfigured pipelines or bypassed controls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Build artefacts; pipeline definitions; environment credentials; change/release approval</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Release Deployment; Production Support (what actually lands in production)</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CI/CD platform; source control; target environments</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Pipeline configuration; deployment logs; approval-gate records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DevOps Engineer (Primary) / Technical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CI/CD platform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Release Deployment (Execution)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System outages, data corruption, or unauthorized changes from inadequately tested or controlled deployments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Approved release package; CI/CD or runbook; change approval; client release window; VPN to production</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Business Development (promised dates); client production; Production Support; Incident Management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Deployment tooling; production environment; VPN; ticketing portal (change record)</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Release package; deployment runbook; change ticket; rollback plan</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Release Engineer (Primary) / Technical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Cloud/hosting provider; Oracle Corporation (where production is Oracle ERP)</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Database &amp; Data Structure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 loss, corruption, or unauthorized access resulting from poorly controlled database changes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Approved schema/data change; backup/restore capability; VPN to the database environment</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 Handling &amp; ETL; application features; client reporting; Production Support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Database platform; admin console; VPN; backup tooling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Schemas; data dictionaries; backup sets; change scripts; access grants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Database Administrator (Primary) / Senior Developer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Database platform vendor; Oracle Corporation (where the estate is Oracle)</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Third-Party &amp; Dependency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Vulnerable, malicious, or non-compliant dependencies introduced into the codebase</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Licence inventory; vendor security advisories; source control (to apply upgrades)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Build Management; application security; Release Deployment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Dependency/licence inventory; source control; artefact repository</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Dependency inventory; licence records; vulnerability and patch status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Technical Lead (Primary) / DevOps Engineer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Component and library vendors; Oracle Corporation and other platform vendors</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Security &amp; Access Configuration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Credential compromise, unauthorized access, or unremediated security vulnerabilities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HR/Admin joiner–mover–leaver notice; identity directory; approved access request in the ticketing portal</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All technical activities that touch production; client data protection; audit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Identity directory; VPN; privileged-access consoles; ticketing portal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Access matrices; secrets inventory; vulnerability results; access-review evidence</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Security Administrator (Primary) / Technical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Identity and VPN vendor; security-tooling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Environment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Production data exposure or misconfiguration resulting from poorly controlled environments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Cloud/infrastructure capacity; network and VPN; configuration baselines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Application Development; Testing &amp; QA; Release Deployment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Environment/cloud console; configuration management; VPN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Environment inventory; configuration baselines; credentials; data-masking rules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DevOps Engineer (Primary) / Technical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Cloud/hosting provider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Data Handling &amp; ETL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Data leakage, corruption, or privacy violations during the movement of data</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Source system availability (client Oracle ERP / operational databases); mapping specs; month-end/quarter-end window</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Client reports and dashboards; Implementation Functional Unit; client finance close</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ETL/integration platform; source and target databases; VPN</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Source extracts; transformation mappings; load logs; data-quality exceptions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Data Engineer (Primary) / Database Administrator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Integration/ETL vendor; Oracle Corporation (source ERP)</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Production Support &amp; Troubleshooting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Unauthorized production changes or service disruption from inadequately controlled support activities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Ticketing portal; VPN to client/production; logging and monitoring; runbooks; client SLA terms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Business Development; client operations; Incident Management</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Ticketing portal; VPN; production systems (Oracle ERP where applicable); monitoring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Ticket history; SLA terms; escalation contacts; diagnostic logs; workaround records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Support Lead (Primary) / Senior Developer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Oracle Corporation (vendor support); cloud/hosting provider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Access &amp; Account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Excessive privileges or unauthorized access resulting from poorly managed accounts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HR/Admin starter and leaver notifications; approved access request; identity directory</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New staff productivity; security (stale access); all system owners</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Identity directory; VPN account administration; ticketing portal</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Account register; joiner–mover–leaver records; privileged-account list; access-review logs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Access Administrator (Primary) / HR/Admin Liaison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Identity/directory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Release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Unauthorized or inadequately validated releases reaching production</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Test sign-off; client-agreed window; Business Development client communication; change calendar</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Release Deployment; Business Development; client stakeholders</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Ticketing portal; release/change calendar</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Release plans; client communications; approval records; go-live checklists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Release Manager (Primary) / Technical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Ticketing platform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Cloud Infrastructure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Exposed systems, excessive privileges, or unexpected costs from misconfigured cloud infrastructure</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Cloud account and billing; network design; security baselines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All environments; CI/CD targets; production availability; cost control</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Cloud management console; infrastructure-as-code repository; monitoring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Infrastructure configuration; IAM/privilege maps; cost/usage data; security-group rules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Cloud Engineer (Primary) / DevOps Engineer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Cloud provider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Logging &amp; Monitoring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Insufficient monitoring, sensitive data in logs, or loss of audit evidence</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Application and infrastructure telemetry; log shipper; storage for logs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Incident Management; Production Support; audit and forensics</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Monitoring and alerting platform; log store; ticketing portal (alert to ticket)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Logs; alert rules; dashboards; audit trails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DevOps Engineer (Primary) / Support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Monitoring/logging platform vendor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color w:val="1A1A1A"/>
                <w:sz w:val="16"/>
              </w:rPr>
              <w:t>Incident Management</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Recurrence of incidents resulting from inadequate root-cause analysis or bypassed change controls</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Monitoring alerts; ticketing portal; on-call roster; VPN; logging; recent change records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Business Development; client operations; live-service recovery</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Ticketing portal; monitoring; VPN; production systems (Oracle ERP where applicable)</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Incident tickets; timeline; root-cause records; SLA clock; escalation contacts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center"/>
            </w:pPr>
            <w:r/>
            <w:r>
              <w:rPr>
                <w:rFonts w:ascii="Calibri" w:hAnsi="Calibri" w:eastAsia="Calibri"/>
                <w:b/>
                <w:color w:val="1A1A1A"/>
                <w:sz w:val="16"/>
              </w:rPr>
              <w:t>Incident Manager (Primary) / Support Lead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FFFFF" w:val="clear"/>
          </w:tcPr>
          <w:p>
            <w:pPr>
              <w:spacing w:before="0" w:after="0" w:line="252" w:lineRule="auto"/>
              <w:jc w:val="left"/>
            </w:pPr>
            <w:r/>
            <w:r>
              <w:rPr>
                <w:rFonts w:ascii="Calibri" w:hAnsi="Calibri" w:eastAsia="Calibri"/>
                <w:b w:val="0"/>
                <w:color w:val="1A1A1A"/>
                <w:sz w:val="16"/>
              </w:rPr>
              <w:t>Oracle Corporation (if the incident is on Oracle ERP); cloud/hosting provider</w:t>
            </w:r>
          </w:p>
        </w:tc>
      </w:tr>
      <w:tr>
        <w:trPr>
          <w:trHeight w:val="1219"/>
        </w:trPr>
        <w:tc>
          <w:tcPr>
            <w:tcW w:type="dxa" w:w="192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color w:val="1A1A1A"/>
                <w:sz w:val="16"/>
              </w:rPr>
              <w:t>Decommissioning</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Loss of required records or residual access resulting from incomplete decommissioning</w:t>
            </w:r>
          </w:p>
        </w:tc>
        <w:tc>
          <w:tcPr>
            <w:tcW w:type="dxa" w:w="294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Approved retirement request; HR/Admin (access removal); backup/archive of required records</w:t>
            </w:r>
          </w:p>
        </w:tc>
        <w:tc>
          <w:tcPr>
            <w:tcW w:type="dxa" w:w="2835"/>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Finance (cost stop); Security (residual access); audit (record retention)</w:t>
            </w:r>
          </w:p>
        </w:tc>
        <w:tc>
          <w:tcPr>
            <w:tcW w:type="dxa" w:w="2494"/>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Asset inventory; identity directory; backup/archive store; cloud console</w:t>
            </w:r>
          </w:p>
        </w:tc>
        <w:tc>
          <w:tcPr>
            <w:tcW w:type="dxa" w:w="2608"/>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Decommission checklist; retained records; access-removal evidence; disposal certificates</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center"/>
            </w:pPr>
            <w:r/>
            <w:r>
              <w:rPr>
                <w:rFonts w:ascii="Calibri" w:hAnsi="Calibri" w:eastAsia="Calibri"/>
                <w:b/>
                <w:color w:val="1A1A1A"/>
                <w:sz w:val="16"/>
              </w:rPr>
              <w:t>Technical Lead (Primary) / Access Administrator (Backup)</w:t>
            </w:r>
          </w:p>
        </w:tc>
        <w:tc>
          <w:tcPr>
            <w:tcW w:type="dxa" w:w="2381"/>
            <w:vAlign w:val="center"/>
            <w:tcMar>
              <w:top w:w="40" w:type="dxa"/>
              <w:left w:w="60" w:type="dxa"/>
              <w:bottom w:w="40" w:type="dxa"/>
              <w:right w:w="60" w:type="dxa"/>
            </w:tcMar>
            <w:tcBorders>
              <w:top w:val="single" w:sz="4" w:space="0" w:color="8AA0B4"/>
              <w:left w:val="single" w:sz="4" w:space="0" w:color="8AA0B4"/>
              <w:bottom w:val="single" w:sz="4" w:space="0" w:color="8AA0B4"/>
              <w:right w:val="single" w:sz="4" w:space="0" w:color="8AA0B4"/>
            </w:tcBorders>
            <w:shd w:fill="F4F7FA" w:val="clear"/>
          </w:tcPr>
          <w:p>
            <w:pPr>
              <w:spacing w:before="0" w:after="0" w:line="252" w:lineRule="auto"/>
              <w:jc w:val="left"/>
            </w:pPr>
            <w:r/>
            <w:r>
              <w:rPr>
                <w:rFonts w:ascii="Calibri" w:hAnsi="Calibri" w:eastAsia="Calibri"/>
                <w:b w:val="0"/>
                <w:color w:val="1A1A1A"/>
                <w:sz w:val="16"/>
              </w:rPr>
              <w:t>Cloud/hosting provider (to terminate); records/archive or disposal vendor</w:t>
            </w:r>
          </w:p>
        </w:tc>
      </w:tr>
    </w:tbl>
    <w:p>
      <w:pPr>
        <w:spacing w:before="200"/>
      </w:pPr>
      <w:r>
        <w:rPr>
          <w:rFonts w:ascii="Calibri" w:hAnsi="Calibri" w:eastAsia="Calibri"/>
          <w:b w:val="0"/>
          <w:color w:val="5A6A7A"/>
          <w:sz w:val="18"/>
        </w:rPr>
        <w:t>Draft for workshop. Replace role titles with named Primary / Backup staff, matching the format used in other departments (e.g. T. Alabi (Primary) / M. Yusuf (Backup)). Confirm product names for source control, CI/CD, cloud, database, and monitoring if they should appear as specific vendor platforms.</w:t>
      </w:r>
    </w:p>
    <w:sectPr w:rsidR="00FC693F" w:rsidRPr="0006063C" w:rsidSect="00034616">
      <w:pgSz w:w="23811" w:h="16838"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